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021" w:rsidRDefault="00620021" w:rsidP="00B0530F">
      <w:pPr>
        <w:pStyle w:val="Title"/>
        <w:rPr>
          <w:rFonts w:ascii="Cambria" w:hAnsi="Cambria" w:cstheme="minorHAnsi"/>
          <w:b/>
          <w:color w:val="2F5496" w:themeColor="accent5" w:themeShade="BF"/>
          <w:spacing w:val="-10"/>
          <w:sz w:val="56"/>
          <w:szCs w:val="56"/>
          <w:lang w:eastAsia="en-AU"/>
        </w:rPr>
      </w:pPr>
      <w:bookmarkStart w:id="0" w:name="_Toc432083897"/>
      <w:bookmarkStart w:id="1" w:name="_GoBack"/>
      <w:bookmarkEnd w:id="1"/>
    </w:p>
    <w:p w:rsidR="00620021" w:rsidRDefault="00620021" w:rsidP="00B0530F">
      <w:pPr>
        <w:pStyle w:val="Title"/>
        <w:rPr>
          <w:rFonts w:ascii="Cambria" w:hAnsi="Cambria" w:cstheme="minorHAnsi"/>
          <w:b/>
          <w:color w:val="2F5496" w:themeColor="accent5" w:themeShade="BF"/>
          <w:spacing w:val="-10"/>
          <w:sz w:val="56"/>
          <w:szCs w:val="56"/>
          <w:lang w:eastAsia="en-AU"/>
        </w:rPr>
      </w:pPr>
    </w:p>
    <w:p w:rsidR="00B0530F" w:rsidRPr="00620021" w:rsidRDefault="00B0530F" w:rsidP="00B0530F">
      <w:pPr>
        <w:pStyle w:val="Title"/>
        <w:rPr>
          <w:rFonts w:ascii="Cambria" w:hAnsi="Cambria" w:cstheme="minorHAnsi"/>
          <w:b/>
          <w:color w:val="2F5496" w:themeColor="accent5" w:themeShade="BF"/>
          <w:spacing w:val="-10"/>
          <w:sz w:val="56"/>
          <w:szCs w:val="56"/>
          <w:lang w:eastAsia="en-AU"/>
        </w:rPr>
      </w:pPr>
      <w:r w:rsidRPr="00620021">
        <w:rPr>
          <w:rFonts w:ascii="Cambria" w:hAnsi="Cambria" w:cstheme="minorHAnsi"/>
          <w:b/>
          <w:color w:val="2F5496" w:themeColor="accent5" w:themeShade="BF"/>
          <w:spacing w:val="-10"/>
          <w:sz w:val="56"/>
          <w:szCs w:val="56"/>
          <w:lang w:eastAsia="en-AU"/>
        </w:rPr>
        <w:t>Economic Costs of Absenteeism, Presenteeism and Early Retirement Due to Ill Health: A Focus on Brazil</w:t>
      </w:r>
    </w:p>
    <w:p w:rsidR="00620021" w:rsidRDefault="00620021" w:rsidP="00EA21D7">
      <w:pPr>
        <w:rPr>
          <w:rFonts w:asciiTheme="minorHAnsi" w:eastAsiaTheme="minorHAnsi" w:hAnsiTheme="minorHAnsi"/>
          <w:b/>
          <w:sz w:val="40"/>
          <w:szCs w:val="40"/>
        </w:rPr>
      </w:pPr>
    </w:p>
    <w:p w:rsidR="00620021" w:rsidRDefault="00620021" w:rsidP="00EA21D7">
      <w:pPr>
        <w:rPr>
          <w:rFonts w:asciiTheme="minorHAnsi" w:eastAsiaTheme="minorHAnsi" w:hAnsiTheme="minorHAnsi"/>
          <w:b/>
          <w:sz w:val="40"/>
          <w:szCs w:val="40"/>
        </w:rPr>
      </w:pPr>
    </w:p>
    <w:p w:rsidR="00EA21D7" w:rsidRPr="00EA21D7" w:rsidRDefault="00EA21D7" w:rsidP="00EA21D7">
      <w:pPr>
        <w:rPr>
          <w:rFonts w:asciiTheme="minorHAnsi" w:eastAsiaTheme="minorHAnsi" w:hAnsiTheme="minorHAnsi"/>
          <w:b/>
          <w:sz w:val="40"/>
          <w:szCs w:val="40"/>
        </w:rPr>
      </w:pPr>
      <w:r w:rsidRPr="00EA21D7">
        <w:rPr>
          <w:rFonts w:asciiTheme="minorHAnsi" w:eastAsiaTheme="minorHAnsi" w:hAnsiTheme="minorHAnsi"/>
          <w:b/>
          <w:sz w:val="40"/>
          <w:szCs w:val="40"/>
        </w:rPr>
        <w:t xml:space="preserve">Report to the </w:t>
      </w:r>
      <w:r w:rsidR="00B64877" w:rsidRPr="00B64877">
        <w:rPr>
          <w:rFonts w:asciiTheme="minorHAnsi" w:eastAsiaTheme="minorHAnsi" w:hAnsiTheme="minorHAnsi"/>
          <w:b/>
          <w:sz w:val="40"/>
          <w:szCs w:val="40"/>
        </w:rPr>
        <w:t>Brazil-U.S. Business Council,</w:t>
      </w:r>
      <w:r w:rsidRPr="00EA21D7">
        <w:rPr>
          <w:rFonts w:asciiTheme="minorHAnsi" w:eastAsiaTheme="minorHAnsi" w:hAnsiTheme="minorHAnsi"/>
          <w:b/>
          <w:sz w:val="40"/>
          <w:szCs w:val="40"/>
        </w:rPr>
        <w:t xml:space="preserve"> the US Chamber of Commerce and the APEC Business Advisory Council</w:t>
      </w:r>
    </w:p>
    <w:p w:rsidR="00620021" w:rsidRDefault="00620021" w:rsidP="00620021">
      <w:pPr>
        <w:pStyle w:val="Heading1"/>
        <w:rPr>
          <w:rFonts w:asciiTheme="minorHAnsi" w:eastAsiaTheme="minorHAnsi" w:hAnsiTheme="minorHAnsi" w:cstheme="minorBidi"/>
          <w:b w:val="0"/>
          <w:bCs w:val="0"/>
          <w:color w:val="auto"/>
          <w:sz w:val="28"/>
          <w:szCs w:val="28"/>
        </w:rPr>
      </w:pPr>
    </w:p>
    <w:p w:rsidR="00B0530F" w:rsidRPr="00620021" w:rsidRDefault="00B0530F" w:rsidP="00620021">
      <w:pPr>
        <w:pStyle w:val="Heading1"/>
        <w:rPr>
          <w:rFonts w:asciiTheme="minorHAnsi" w:eastAsiaTheme="minorHAnsi" w:hAnsiTheme="minorHAnsi" w:cstheme="minorBidi"/>
          <w:b w:val="0"/>
          <w:bCs w:val="0"/>
          <w:color w:val="auto"/>
          <w:sz w:val="28"/>
          <w:szCs w:val="28"/>
        </w:rPr>
      </w:pPr>
      <w:r w:rsidRPr="00EA21D7">
        <w:rPr>
          <w:rFonts w:asciiTheme="minorHAnsi" w:eastAsiaTheme="minorHAnsi" w:hAnsiTheme="minorHAnsi" w:cstheme="minorBidi"/>
          <w:b w:val="0"/>
          <w:bCs w:val="0"/>
          <w:color w:val="auto"/>
          <w:sz w:val="28"/>
          <w:szCs w:val="28"/>
        </w:rPr>
        <w:t>Bruce Rasmussen</w:t>
      </w:r>
      <w:r w:rsidR="00620021">
        <w:rPr>
          <w:rFonts w:asciiTheme="minorHAnsi" w:eastAsiaTheme="minorHAnsi" w:hAnsiTheme="minorHAnsi" w:cstheme="minorBidi"/>
          <w:b w:val="0"/>
          <w:bCs w:val="0"/>
          <w:color w:val="auto"/>
          <w:sz w:val="28"/>
          <w:szCs w:val="28"/>
        </w:rPr>
        <w:br/>
      </w:r>
      <w:r w:rsidRPr="00620021">
        <w:rPr>
          <w:rFonts w:asciiTheme="minorHAnsi" w:eastAsiaTheme="minorHAnsi" w:hAnsiTheme="minorHAnsi" w:cstheme="minorBidi"/>
          <w:b w:val="0"/>
          <w:bCs w:val="0"/>
          <w:color w:val="auto"/>
          <w:sz w:val="28"/>
          <w:szCs w:val="28"/>
        </w:rPr>
        <w:t>Kim Sweeny</w:t>
      </w:r>
      <w:r w:rsidR="00620021" w:rsidRPr="00620021">
        <w:rPr>
          <w:rFonts w:asciiTheme="minorHAnsi" w:eastAsiaTheme="minorHAnsi" w:hAnsiTheme="minorHAnsi" w:cstheme="minorBidi"/>
          <w:b w:val="0"/>
          <w:bCs w:val="0"/>
          <w:color w:val="auto"/>
          <w:sz w:val="28"/>
          <w:szCs w:val="28"/>
        </w:rPr>
        <w:br/>
      </w:r>
      <w:r w:rsidRPr="00620021">
        <w:rPr>
          <w:rFonts w:asciiTheme="minorHAnsi" w:eastAsiaTheme="minorHAnsi" w:hAnsiTheme="minorHAnsi" w:cstheme="minorBidi"/>
          <w:b w:val="0"/>
          <w:bCs w:val="0"/>
          <w:color w:val="auto"/>
          <w:sz w:val="28"/>
          <w:szCs w:val="28"/>
        </w:rPr>
        <w:t>Peter Sheehan</w:t>
      </w:r>
    </w:p>
    <w:p w:rsidR="00620021" w:rsidRDefault="00620021" w:rsidP="00EA21D7">
      <w:pPr>
        <w:spacing w:after="0" w:line="259" w:lineRule="auto"/>
        <w:rPr>
          <w:rFonts w:eastAsia="Calibri" w:cs="Times New Roman"/>
          <w:sz w:val="28"/>
          <w:szCs w:val="28"/>
        </w:rPr>
      </w:pPr>
    </w:p>
    <w:p w:rsidR="00620021" w:rsidRDefault="00620021" w:rsidP="00EA21D7">
      <w:pPr>
        <w:spacing w:after="0" w:line="259" w:lineRule="auto"/>
        <w:rPr>
          <w:rFonts w:eastAsia="Calibri" w:cs="Times New Roman"/>
          <w:sz w:val="28"/>
          <w:szCs w:val="28"/>
        </w:rPr>
      </w:pPr>
    </w:p>
    <w:p w:rsidR="00620021" w:rsidRDefault="00620021" w:rsidP="00EA21D7">
      <w:pPr>
        <w:spacing w:after="0" w:line="259" w:lineRule="auto"/>
        <w:rPr>
          <w:rFonts w:eastAsia="Calibri" w:cs="Times New Roman"/>
          <w:sz w:val="28"/>
          <w:szCs w:val="28"/>
        </w:rPr>
      </w:pPr>
    </w:p>
    <w:p w:rsidR="00620021" w:rsidRDefault="00620021" w:rsidP="00EA21D7">
      <w:pPr>
        <w:spacing w:after="0" w:line="259" w:lineRule="auto"/>
        <w:rPr>
          <w:rFonts w:eastAsia="Calibri" w:cs="Times New Roman"/>
          <w:sz w:val="28"/>
          <w:szCs w:val="28"/>
        </w:rPr>
      </w:pPr>
    </w:p>
    <w:p w:rsidR="00620021" w:rsidRDefault="00620021" w:rsidP="00EA21D7">
      <w:pPr>
        <w:spacing w:after="0" w:line="259" w:lineRule="auto"/>
        <w:rPr>
          <w:rFonts w:eastAsia="Calibri" w:cs="Times New Roman"/>
          <w:sz w:val="28"/>
          <w:szCs w:val="28"/>
        </w:rPr>
      </w:pPr>
    </w:p>
    <w:p w:rsidR="00EA21D7" w:rsidRPr="001071FB" w:rsidRDefault="00EA21D7" w:rsidP="00EA21D7">
      <w:pPr>
        <w:spacing w:after="0" w:line="259" w:lineRule="auto"/>
        <w:rPr>
          <w:rFonts w:eastAsia="Calibri" w:cs="Times New Roman"/>
          <w:sz w:val="24"/>
        </w:rPr>
      </w:pPr>
      <w:r w:rsidRPr="001071FB">
        <w:rPr>
          <w:rFonts w:eastAsia="Calibri" w:cs="Times New Roman"/>
          <w:sz w:val="24"/>
        </w:rPr>
        <w:t>Victoria Institute of Strategic Economic Studies</w:t>
      </w:r>
    </w:p>
    <w:p w:rsidR="00EA21D7" w:rsidRPr="001071FB" w:rsidRDefault="00EA21D7" w:rsidP="00EA21D7">
      <w:pPr>
        <w:spacing w:after="0" w:line="259" w:lineRule="auto"/>
        <w:rPr>
          <w:rFonts w:eastAsia="Calibri" w:cs="Times New Roman"/>
          <w:sz w:val="24"/>
        </w:rPr>
      </w:pPr>
      <w:r w:rsidRPr="001071FB">
        <w:rPr>
          <w:rFonts w:eastAsia="Calibri" w:cs="Times New Roman"/>
          <w:sz w:val="24"/>
        </w:rPr>
        <w:t>Victoria University, Melbourne</w:t>
      </w:r>
    </w:p>
    <w:p w:rsidR="00EA21D7" w:rsidRPr="001071FB" w:rsidRDefault="00EA21D7" w:rsidP="00EA21D7">
      <w:pPr>
        <w:spacing w:after="0" w:line="259" w:lineRule="auto"/>
        <w:rPr>
          <w:rFonts w:eastAsia="Calibri" w:cs="Times New Roman"/>
          <w:sz w:val="24"/>
        </w:rPr>
      </w:pPr>
      <w:r w:rsidRPr="001071FB">
        <w:rPr>
          <w:rFonts w:eastAsia="Calibri" w:cs="Times New Roman"/>
          <w:sz w:val="24"/>
        </w:rPr>
        <w:t>November 2015</w:t>
      </w:r>
    </w:p>
    <w:p w:rsidR="00B0530F" w:rsidRDefault="00B0530F" w:rsidP="00B0530F"/>
    <w:p w:rsidR="00620021" w:rsidRDefault="00620021" w:rsidP="00620021">
      <w:pPr>
        <w:spacing w:after="160" w:line="259" w:lineRule="auto"/>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Default="00620021" w:rsidP="00620021">
      <w:pPr>
        <w:spacing w:after="0"/>
      </w:pP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2015</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Victoria Institute of Strategic Economic Studies</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Victoria University</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PO Box 14428</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Melbourne VIC 8001</w:t>
      </w:r>
    </w:p>
    <w:p w:rsidR="00620021" w:rsidRPr="00A84A63" w:rsidRDefault="00620021" w:rsidP="00620021">
      <w:pPr>
        <w:spacing w:after="0"/>
        <w:rPr>
          <w:rFonts w:eastAsia="Times New Roman" w:cs="Times New Roman"/>
          <w:lang w:eastAsia="en-AU"/>
        </w:rPr>
      </w:pPr>
      <w:r w:rsidRPr="00A84A63">
        <w:rPr>
          <w:rFonts w:eastAsia="Times New Roman" w:cs="Times New Roman"/>
          <w:lang w:eastAsia="en-AU"/>
        </w:rPr>
        <w:t>For further information contact:</w:t>
      </w:r>
    </w:p>
    <w:p w:rsidR="00620021" w:rsidRPr="00A84A63" w:rsidRDefault="00620021" w:rsidP="00620021">
      <w:pPr>
        <w:spacing w:after="0"/>
        <w:rPr>
          <w:rFonts w:eastAsia="Times New Roman" w:cs="Times New Roman"/>
          <w:lang w:val="fr-FR" w:eastAsia="en-AU"/>
        </w:rPr>
      </w:pPr>
      <w:r>
        <w:rPr>
          <w:rFonts w:eastAsia="Times New Roman" w:cs="Times New Roman"/>
          <w:lang w:val="fr-FR" w:eastAsia="en-AU"/>
        </w:rPr>
        <w:t xml:space="preserve">Prof. </w:t>
      </w:r>
      <w:r w:rsidRPr="00A84A63">
        <w:rPr>
          <w:rFonts w:eastAsia="Times New Roman" w:cs="Times New Roman"/>
          <w:lang w:val="fr-FR" w:eastAsia="en-AU"/>
        </w:rPr>
        <w:t>Bruce Rasmussen</w:t>
      </w:r>
    </w:p>
    <w:p w:rsidR="00620021" w:rsidRDefault="00C72E1E" w:rsidP="00620021">
      <w:pPr>
        <w:spacing w:after="0"/>
        <w:rPr>
          <w:rStyle w:val="Hyperlink"/>
        </w:rPr>
      </w:pPr>
      <w:hyperlink r:id="rId9" w:history="1">
        <w:r w:rsidR="00620021" w:rsidRPr="00A84A63">
          <w:rPr>
            <w:rStyle w:val="Hyperlink"/>
          </w:rPr>
          <w:t>Bruce.Rasmussen@vu.edu.au</w:t>
        </w:r>
      </w:hyperlink>
    </w:p>
    <w:p w:rsidR="001071FB" w:rsidRDefault="001071FB" w:rsidP="009A16BC">
      <w:pPr>
        <w:pStyle w:val="Heading2"/>
        <w:sectPr w:rsidR="001071FB" w:rsidSect="00EA21D7">
          <w:footerReference w:type="default" r:id="rId10"/>
          <w:pgSz w:w="12242" w:h="15842" w:code="1"/>
          <w:pgMar w:top="1440" w:right="1440" w:bottom="1440" w:left="1440" w:header="709" w:footer="709" w:gutter="0"/>
          <w:cols w:space="708"/>
          <w:titlePg/>
          <w:docGrid w:linePitch="360"/>
        </w:sectPr>
      </w:pPr>
    </w:p>
    <w:p w:rsidR="00B0530F" w:rsidRDefault="00B0530F" w:rsidP="009A16BC">
      <w:pPr>
        <w:pStyle w:val="Heading2"/>
      </w:pPr>
      <w:r>
        <w:lastRenderedPageBreak/>
        <w:t>Executive Summary</w:t>
      </w:r>
    </w:p>
    <w:p w:rsidR="0094422D" w:rsidRDefault="0094422D" w:rsidP="00620021">
      <w:pPr>
        <w:rPr>
          <w:color w:val="000000"/>
        </w:rPr>
      </w:pPr>
      <w:r>
        <w:rPr>
          <w:color w:val="000000"/>
        </w:rPr>
        <w:t xml:space="preserve">This report provides estimates </w:t>
      </w:r>
      <w:r w:rsidR="00AC16A7">
        <w:rPr>
          <w:color w:val="000000"/>
        </w:rPr>
        <w:t>of</w:t>
      </w:r>
      <w:r>
        <w:rPr>
          <w:color w:val="000000"/>
        </w:rPr>
        <w:t xml:space="preserve"> the economic cost due to productivity losses </w:t>
      </w:r>
      <w:r w:rsidR="00AC16A7">
        <w:rPr>
          <w:color w:val="000000"/>
        </w:rPr>
        <w:t>arising from absenteeism</w:t>
      </w:r>
      <w:r>
        <w:rPr>
          <w:color w:val="000000"/>
        </w:rPr>
        <w:t xml:space="preserve">, presenteeism and early retirement due to ill health. For Brazil these losses equate to a total of 8.7% of GDP as shown in Table ES 1. This puts Brazil towards the upper end of the range for a group of 10 other countries that includes some of its Latin American peers as well as other middle income developing countries from other </w:t>
      </w:r>
      <w:r w:rsidR="00AC16A7">
        <w:rPr>
          <w:color w:val="000000"/>
        </w:rPr>
        <w:t xml:space="preserve">parts </w:t>
      </w:r>
      <w:r>
        <w:rPr>
          <w:color w:val="000000"/>
        </w:rPr>
        <w:t xml:space="preserve">of the world. </w:t>
      </w:r>
    </w:p>
    <w:p w:rsidR="0094422D" w:rsidRPr="001071FB" w:rsidRDefault="0094422D" w:rsidP="0094422D">
      <w:pPr>
        <w:spacing w:after="0"/>
        <w:rPr>
          <w:b/>
          <w:sz w:val="20"/>
          <w:szCs w:val="20"/>
        </w:rPr>
      </w:pPr>
      <w:r w:rsidRPr="001071FB">
        <w:rPr>
          <w:b/>
          <w:sz w:val="20"/>
          <w:szCs w:val="20"/>
        </w:rPr>
        <w:t xml:space="preserve">Table </w:t>
      </w:r>
      <w:r>
        <w:rPr>
          <w:b/>
          <w:sz w:val="20"/>
          <w:szCs w:val="20"/>
        </w:rPr>
        <w:t xml:space="preserve">ES1 </w:t>
      </w:r>
      <w:r w:rsidRPr="001071FB">
        <w:rPr>
          <w:b/>
          <w:sz w:val="20"/>
          <w:szCs w:val="20"/>
        </w:rPr>
        <w:t xml:space="preserve"> Total Economic impact of absenteeism, presenteeism and early retirement</w:t>
      </w:r>
    </w:p>
    <w:tbl>
      <w:tblPr>
        <w:tblW w:w="8505" w:type="dxa"/>
        <w:tblLook w:val="04A0" w:firstRow="1" w:lastRow="0" w:firstColumn="1" w:lastColumn="0" w:noHBand="0" w:noVBand="1"/>
      </w:tblPr>
      <w:tblGrid>
        <w:gridCol w:w="1242"/>
        <w:gridCol w:w="1418"/>
        <w:gridCol w:w="1276"/>
        <w:gridCol w:w="799"/>
        <w:gridCol w:w="1489"/>
        <w:gridCol w:w="1398"/>
        <w:gridCol w:w="883"/>
      </w:tblGrid>
      <w:tr w:rsidR="0094422D" w:rsidRPr="00C66BFD" w:rsidTr="00AC16A7">
        <w:tc>
          <w:tcPr>
            <w:tcW w:w="1242" w:type="dxa"/>
            <w:tcBorders>
              <w:top w:val="nil"/>
              <w:left w:val="nil"/>
              <w:bottom w:val="nil"/>
              <w:right w:val="single" w:sz="8" w:space="0" w:color="4F81BD"/>
            </w:tcBorders>
            <w:shd w:val="clear" w:color="auto" w:fill="5B9BD5" w:themeFill="accent1"/>
            <w:noWrap/>
            <w:vAlign w:val="center"/>
            <w:hideMark/>
          </w:tcPr>
          <w:p w:rsidR="0094422D" w:rsidRPr="001071FB" w:rsidRDefault="0094422D" w:rsidP="00AC16A7">
            <w:pPr>
              <w:spacing w:after="0"/>
              <w:rPr>
                <w:rFonts w:asciiTheme="minorHAnsi" w:eastAsia="Times New Roman" w:hAnsiTheme="minorHAnsi" w:cstheme="minorHAnsi"/>
                <w:b/>
                <w:color w:val="FFFFFF" w:themeColor="background1"/>
                <w:sz w:val="18"/>
                <w:szCs w:val="18"/>
                <w:lang w:eastAsia="en-AU"/>
              </w:rPr>
            </w:pPr>
          </w:p>
        </w:tc>
        <w:tc>
          <w:tcPr>
            <w:tcW w:w="3493" w:type="dxa"/>
            <w:gridSpan w:val="3"/>
            <w:tcBorders>
              <w:top w:val="nil"/>
              <w:left w:val="single" w:sz="8" w:space="0" w:color="4F81BD"/>
              <w:bottom w:val="nil"/>
              <w:right w:val="single" w:sz="8" w:space="0" w:color="4F81BD"/>
            </w:tcBorders>
            <w:shd w:val="clear" w:color="auto" w:fill="5B9BD5" w:themeFill="accent1"/>
            <w:noWrap/>
            <w:vAlign w:val="center"/>
            <w:hideMark/>
          </w:tcPr>
          <w:p w:rsidR="0094422D" w:rsidRPr="001071FB" w:rsidRDefault="0094422D" w:rsidP="00AC16A7">
            <w:pPr>
              <w:spacing w:after="0"/>
              <w:jc w:val="center"/>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201</w:t>
            </w:r>
            <w:r>
              <w:rPr>
                <w:rFonts w:asciiTheme="minorHAnsi" w:eastAsia="Times New Roman" w:hAnsiTheme="minorHAnsi" w:cstheme="minorHAnsi"/>
                <w:b/>
                <w:color w:val="FFFFFF" w:themeColor="background1"/>
                <w:sz w:val="18"/>
                <w:szCs w:val="18"/>
                <w:lang w:eastAsia="en-AU"/>
              </w:rPr>
              <w:t>5</w:t>
            </w:r>
          </w:p>
        </w:tc>
        <w:tc>
          <w:tcPr>
            <w:tcW w:w="3770" w:type="dxa"/>
            <w:gridSpan w:val="3"/>
            <w:tcBorders>
              <w:top w:val="nil"/>
              <w:left w:val="single" w:sz="8" w:space="0" w:color="4F81BD"/>
              <w:bottom w:val="nil"/>
              <w:right w:val="nil"/>
            </w:tcBorders>
            <w:shd w:val="clear" w:color="auto" w:fill="5B9BD5" w:themeFill="accent1"/>
            <w:noWrap/>
            <w:vAlign w:val="center"/>
          </w:tcPr>
          <w:p w:rsidR="0094422D" w:rsidRPr="001071FB" w:rsidRDefault="0094422D" w:rsidP="00AC16A7">
            <w:pPr>
              <w:spacing w:after="0"/>
              <w:jc w:val="center"/>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2030</w:t>
            </w:r>
          </w:p>
        </w:tc>
      </w:tr>
      <w:tr w:rsidR="0094422D" w:rsidRPr="00C66BFD" w:rsidTr="00AC16A7">
        <w:tc>
          <w:tcPr>
            <w:tcW w:w="1242" w:type="dxa"/>
            <w:tcBorders>
              <w:top w:val="nil"/>
              <w:left w:val="nil"/>
              <w:bottom w:val="nil"/>
              <w:right w:val="single" w:sz="8" w:space="0" w:color="4F81BD"/>
            </w:tcBorders>
            <w:shd w:val="clear" w:color="auto" w:fill="5B9BD5" w:themeFill="accent1"/>
            <w:noWrap/>
            <w:vAlign w:val="center"/>
          </w:tcPr>
          <w:p w:rsidR="0094422D" w:rsidRPr="001071FB" w:rsidRDefault="0094422D" w:rsidP="00AC16A7">
            <w:pPr>
              <w:spacing w:after="0" w:line="240" w:lineRule="auto"/>
              <w:rPr>
                <w:rFonts w:asciiTheme="minorHAnsi" w:eastAsia="Times New Roman" w:hAnsiTheme="minorHAnsi" w:cstheme="minorHAnsi"/>
                <w:b/>
                <w:color w:val="FFFFFF" w:themeColor="background1"/>
                <w:sz w:val="18"/>
                <w:szCs w:val="18"/>
                <w:lang w:eastAsia="en-AU"/>
              </w:rPr>
            </w:pPr>
          </w:p>
        </w:tc>
        <w:tc>
          <w:tcPr>
            <w:tcW w:w="1418" w:type="dxa"/>
            <w:tcBorders>
              <w:top w:val="nil"/>
              <w:left w:val="single" w:sz="8" w:space="0" w:color="4F81BD"/>
              <w:bottom w:val="nil"/>
              <w:right w:val="nil"/>
            </w:tcBorders>
            <w:shd w:val="clear" w:color="auto" w:fill="5B9BD5" w:themeFill="accent1"/>
            <w:noWrap/>
            <w:vAlign w:val="center"/>
          </w:tcPr>
          <w:p w:rsidR="0094422D" w:rsidRPr="001071FB" w:rsidRDefault="0094422D" w:rsidP="00AC16A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Presenteeism &amp; absenteeism</w:t>
            </w:r>
          </w:p>
        </w:tc>
        <w:tc>
          <w:tcPr>
            <w:tcW w:w="1276" w:type="dxa"/>
            <w:tcBorders>
              <w:top w:val="nil"/>
              <w:left w:val="nil"/>
              <w:bottom w:val="nil"/>
              <w:right w:val="nil"/>
            </w:tcBorders>
            <w:shd w:val="clear" w:color="auto" w:fill="5B9BD5" w:themeFill="accent1"/>
            <w:noWrap/>
            <w:vAlign w:val="center"/>
          </w:tcPr>
          <w:p w:rsidR="0094422D" w:rsidRPr="001071FB" w:rsidRDefault="0094422D" w:rsidP="00AC16A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Early retirement</w:t>
            </w:r>
          </w:p>
        </w:tc>
        <w:tc>
          <w:tcPr>
            <w:tcW w:w="799" w:type="dxa"/>
            <w:tcBorders>
              <w:top w:val="nil"/>
              <w:left w:val="nil"/>
              <w:bottom w:val="nil"/>
              <w:right w:val="single" w:sz="8" w:space="0" w:color="4F81BD"/>
            </w:tcBorders>
            <w:shd w:val="clear" w:color="auto" w:fill="5B9BD5" w:themeFill="accent1"/>
            <w:vAlign w:val="center"/>
          </w:tcPr>
          <w:p w:rsidR="0094422D" w:rsidRPr="001071FB" w:rsidRDefault="0094422D" w:rsidP="00AC16A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Total</w:t>
            </w:r>
          </w:p>
        </w:tc>
        <w:tc>
          <w:tcPr>
            <w:tcW w:w="1489" w:type="dxa"/>
            <w:tcBorders>
              <w:top w:val="nil"/>
              <w:left w:val="single" w:sz="8" w:space="0" w:color="4F81BD"/>
              <w:bottom w:val="nil"/>
              <w:right w:val="nil"/>
            </w:tcBorders>
            <w:shd w:val="clear" w:color="auto" w:fill="5B9BD5" w:themeFill="accent1"/>
            <w:noWrap/>
            <w:vAlign w:val="center"/>
          </w:tcPr>
          <w:p w:rsidR="0094422D" w:rsidRPr="001071FB" w:rsidRDefault="0094422D" w:rsidP="00AC16A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Presenteeism &amp; absenteeism</w:t>
            </w:r>
          </w:p>
        </w:tc>
        <w:tc>
          <w:tcPr>
            <w:tcW w:w="1398" w:type="dxa"/>
            <w:tcBorders>
              <w:top w:val="nil"/>
              <w:left w:val="nil"/>
              <w:bottom w:val="nil"/>
              <w:right w:val="nil"/>
            </w:tcBorders>
            <w:shd w:val="clear" w:color="auto" w:fill="5B9BD5" w:themeFill="accent1"/>
            <w:noWrap/>
            <w:vAlign w:val="center"/>
          </w:tcPr>
          <w:p w:rsidR="0094422D" w:rsidRPr="001071FB" w:rsidRDefault="0094422D" w:rsidP="00AC16A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Early retirement</w:t>
            </w:r>
          </w:p>
        </w:tc>
        <w:tc>
          <w:tcPr>
            <w:tcW w:w="883" w:type="dxa"/>
            <w:tcBorders>
              <w:top w:val="nil"/>
              <w:left w:val="nil"/>
              <w:bottom w:val="nil"/>
              <w:right w:val="nil"/>
            </w:tcBorders>
            <w:shd w:val="clear" w:color="auto" w:fill="5B9BD5" w:themeFill="accent1"/>
            <w:vAlign w:val="center"/>
          </w:tcPr>
          <w:p w:rsidR="0094422D" w:rsidRPr="001071FB" w:rsidRDefault="0094422D" w:rsidP="00AC16A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Total</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Brazil</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5.2</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7.6%</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5.8</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8.7%</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China</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3.5</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2.2%</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5.7%</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4.3</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7.1%</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Colombia</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4.9</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7.3%</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5.4</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2.7%</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8.1%</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India</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4.8</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7.7%</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5.0</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3.3%</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8.3%</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Japan</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4.1</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7.1%</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4.6</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3.6%</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8.0%</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Mexico</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3.7</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2.0%</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5.7%</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3.9</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2.6%</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6.5%</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Peru</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4.9</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1.9%</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6.8%</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5.4</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7.8%</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Poland</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4.7</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3.9%</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8.6%</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5.5</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4.0%</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9.5%</w:t>
            </w:r>
          </w:p>
        </w:tc>
      </w:tr>
      <w:tr w:rsidR="0094422D" w:rsidRPr="00C66BFD" w:rsidTr="00AC16A7">
        <w:tc>
          <w:tcPr>
            <w:tcW w:w="1242" w:type="dxa"/>
            <w:tcBorders>
              <w:top w:val="nil"/>
              <w:left w:val="nil"/>
              <w:bottom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South Africa</w:t>
            </w:r>
          </w:p>
        </w:tc>
        <w:tc>
          <w:tcPr>
            <w:tcW w:w="1418"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4.9</w:t>
            </w:r>
          </w:p>
        </w:tc>
        <w:tc>
          <w:tcPr>
            <w:tcW w:w="1276" w:type="dxa"/>
            <w:tcBorders>
              <w:top w:val="nil"/>
              <w:left w:val="nil"/>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799" w:type="dxa"/>
            <w:tcBorders>
              <w:top w:val="nil"/>
              <w:left w:val="nil"/>
              <w:bottom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7.9%</w:t>
            </w:r>
          </w:p>
        </w:tc>
        <w:tc>
          <w:tcPr>
            <w:tcW w:w="1489" w:type="dxa"/>
            <w:tcBorders>
              <w:top w:val="nil"/>
              <w:left w:val="single" w:sz="8" w:space="0" w:color="4F81BD"/>
              <w:bottom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5.2</w:t>
            </w:r>
          </w:p>
        </w:tc>
        <w:tc>
          <w:tcPr>
            <w:tcW w:w="1398" w:type="dxa"/>
            <w:tcBorders>
              <w:top w:val="nil"/>
              <w:left w:val="nil"/>
              <w:bottom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c>
          <w:tcPr>
            <w:tcW w:w="883" w:type="dxa"/>
            <w:tcBorders>
              <w:top w:val="nil"/>
              <w:left w:val="nil"/>
              <w:bottom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8.0%</w:t>
            </w:r>
          </w:p>
        </w:tc>
      </w:tr>
      <w:tr w:rsidR="0094422D" w:rsidRPr="00C66BFD" w:rsidTr="00AC16A7">
        <w:tc>
          <w:tcPr>
            <w:tcW w:w="1242" w:type="dxa"/>
            <w:tcBorders>
              <w:top w:val="nil"/>
              <w:left w:val="nil"/>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Turkey</w:t>
            </w:r>
          </w:p>
        </w:tc>
        <w:tc>
          <w:tcPr>
            <w:tcW w:w="1418" w:type="dxa"/>
            <w:tcBorders>
              <w:top w:val="nil"/>
              <w:left w:val="single" w:sz="8" w:space="0" w:color="4F81BD"/>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5.3</w:t>
            </w:r>
          </w:p>
        </w:tc>
        <w:tc>
          <w:tcPr>
            <w:tcW w:w="1276" w:type="dxa"/>
            <w:tcBorders>
              <w:top w:val="nil"/>
              <w:left w:val="nil"/>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3.3%</w:t>
            </w:r>
          </w:p>
        </w:tc>
        <w:tc>
          <w:tcPr>
            <w:tcW w:w="799" w:type="dxa"/>
            <w:tcBorders>
              <w:top w:val="nil"/>
              <w:left w:val="nil"/>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8.6%</w:t>
            </w:r>
          </w:p>
        </w:tc>
        <w:tc>
          <w:tcPr>
            <w:tcW w:w="1489" w:type="dxa"/>
            <w:tcBorders>
              <w:top w:val="nil"/>
              <w:left w:val="single" w:sz="8" w:space="0" w:color="4F81BD"/>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6.0</w:t>
            </w:r>
          </w:p>
        </w:tc>
        <w:tc>
          <w:tcPr>
            <w:tcW w:w="1398" w:type="dxa"/>
            <w:tcBorders>
              <w:top w:val="nil"/>
              <w:left w:val="nil"/>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4.2%</w:t>
            </w:r>
          </w:p>
        </w:tc>
        <w:tc>
          <w:tcPr>
            <w:tcW w:w="883" w:type="dxa"/>
            <w:tcBorders>
              <w:top w:val="nil"/>
              <w:left w:val="nil"/>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10.2%</w:t>
            </w:r>
          </w:p>
        </w:tc>
      </w:tr>
      <w:tr w:rsidR="0094422D" w:rsidRPr="00C66BFD" w:rsidTr="00AC16A7">
        <w:tc>
          <w:tcPr>
            <w:tcW w:w="1242" w:type="dxa"/>
            <w:tcBorders>
              <w:top w:val="nil"/>
              <w:left w:val="nil"/>
              <w:bottom w:val="single" w:sz="8" w:space="0" w:color="4F81BD"/>
              <w:right w:val="single" w:sz="8" w:space="0" w:color="4F81BD"/>
            </w:tcBorders>
            <w:shd w:val="clear" w:color="auto" w:fill="auto"/>
            <w:noWrap/>
            <w:vAlign w:val="center"/>
            <w:hideMark/>
          </w:tcPr>
          <w:p w:rsidR="0094422D" w:rsidRPr="001071FB" w:rsidRDefault="0094422D" w:rsidP="00AC16A7">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United States</w:t>
            </w:r>
          </w:p>
        </w:tc>
        <w:tc>
          <w:tcPr>
            <w:tcW w:w="1418" w:type="dxa"/>
            <w:tcBorders>
              <w:top w:val="nil"/>
              <w:left w:val="single" w:sz="8" w:space="0" w:color="4F81BD"/>
              <w:bottom w:val="single" w:sz="8" w:space="0" w:color="4F81BD"/>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5.2</w:t>
            </w:r>
          </w:p>
        </w:tc>
        <w:tc>
          <w:tcPr>
            <w:tcW w:w="1276" w:type="dxa"/>
            <w:tcBorders>
              <w:top w:val="nil"/>
              <w:left w:val="nil"/>
              <w:bottom w:val="single" w:sz="8" w:space="0" w:color="4F81BD"/>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3.2%</w:t>
            </w:r>
          </w:p>
        </w:tc>
        <w:tc>
          <w:tcPr>
            <w:tcW w:w="799" w:type="dxa"/>
            <w:tcBorders>
              <w:top w:val="nil"/>
              <w:left w:val="nil"/>
              <w:bottom w:val="single" w:sz="8" w:space="0" w:color="4F81BD"/>
              <w:right w:val="single" w:sz="8" w:space="0" w:color="4F81BD"/>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8.4%</w:t>
            </w:r>
          </w:p>
        </w:tc>
        <w:tc>
          <w:tcPr>
            <w:tcW w:w="1489" w:type="dxa"/>
            <w:tcBorders>
              <w:top w:val="nil"/>
              <w:left w:val="single" w:sz="8" w:space="0" w:color="4F81BD"/>
              <w:bottom w:val="single" w:sz="8" w:space="0" w:color="4F81BD"/>
              <w:right w:val="nil"/>
            </w:tcBorders>
            <w:shd w:val="clear" w:color="auto" w:fill="auto"/>
            <w:noWrap/>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5.5</w:t>
            </w:r>
          </w:p>
        </w:tc>
        <w:tc>
          <w:tcPr>
            <w:tcW w:w="1398" w:type="dxa"/>
            <w:tcBorders>
              <w:top w:val="nil"/>
              <w:left w:val="nil"/>
              <w:bottom w:val="single" w:sz="8" w:space="0" w:color="4F81BD"/>
              <w:right w:val="nil"/>
            </w:tcBorders>
            <w:shd w:val="clear" w:color="auto" w:fill="auto"/>
            <w:noWrap/>
            <w:vAlign w:val="center"/>
            <w:hideMark/>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883" w:type="dxa"/>
            <w:tcBorders>
              <w:top w:val="nil"/>
              <w:left w:val="nil"/>
              <w:bottom w:val="single" w:sz="8" w:space="0" w:color="4F81BD"/>
              <w:right w:val="nil"/>
            </w:tcBorders>
            <w:vAlign w:val="center"/>
          </w:tcPr>
          <w:p w:rsidR="0094422D" w:rsidRPr="001071FB" w:rsidRDefault="0094422D" w:rsidP="00AC16A7">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8.4%</w:t>
            </w:r>
          </w:p>
        </w:tc>
      </w:tr>
    </w:tbl>
    <w:p w:rsidR="0094422D" w:rsidRPr="001071FB" w:rsidRDefault="0094422D" w:rsidP="0094422D">
      <w:pPr>
        <w:rPr>
          <w:sz w:val="18"/>
          <w:szCs w:val="18"/>
        </w:rPr>
      </w:pPr>
      <w:r w:rsidRPr="001071FB">
        <w:rPr>
          <w:sz w:val="18"/>
          <w:szCs w:val="18"/>
        </w:rPr>
        <w:t>Source: VISES estimates.</w:t>
      </w:r>
    </w:p>
    <w:p w:rsidR="0094422D" w:rsidRDefault="0094422D" w:rsidP="00620021">
      <w:pPr>
        <w:rPr>
          <w:color w:val="000000"/>
        </w:rPr>
      </w:pPr>
      <w:r>
        <w:rPr>
          <w:color w:val="000000"/>
        </w:rPr>
        <w:t xml:space="preserve">  </w:t>
      </w:r>
    </w:p>
    <w:p w:rsidR="00B06992" w:rsidRDefault="0094422D" w:rsidP="00B06992">
      <w:pPr>
        <w:rPr>
          <w:lang w:eastAsia="en-AU"/>
        </w:rPr>
      </w:pPr>
      <w:r>
        <w:rPr>
          <w:color w:val="000000"/>
        </w:rPr>
        <w:t xml:space="preserve">These estimates are driven by </w:t>
      </w:r>
      <w:r w:rsidR="00830967">
        <w:rPr>
          <w:color w:val="000000"/>
        </w:rPr>
        <w:t>the intersection</w:t>
      </w:r>
      <w:r>
        <w:rPr>
          <w:color w:val="000000"/>
        </w:rPr>
        <w:t xml:space="preserve"> of </w:t>
      </w:r>
      <w:r w:rsidR="00830967">
        <w:rPr>
          <w:color w:val="000000"/>
        </w:rPr>
        <w:t xml:space="preserve">an </w:t>
      </w:r>
      <w:r>
        <w:rPr>
          <w:color w:val="000000"/>
        </w:rPr>
        <w:t xml:space="preserve">ageing </w:t>
      </w:r>
      <w:r w:rsidR="00830967">
        <w:rPr>
          <w:color w:val="000000"/>
        </w:rPr>
        <w:t xml:space="preserve">workforce with </w:t>
      </w:r>
      <w:r>
        <w:rPr>
          <w:color w:val="000000"/>
        </w:rPr>
        <w:t xml:space="preserve">the high burden </w:t>
      </w:r>
      <w:r w:rsidR="00830967">
        <w:rPr>
          <w:color w:val="000000"/>
        </w:rPr>
        <w:t>of</w:t>
      </w:r>
      <w:r>
        <w:rPr>
          <w:color w:val="000000"/>
        </w:rPr>
        <w:t xml:space="preserve"> chronic disease</w:t>
      </w:r>
      <w:r w:rsidR="00830967">
        <w:rPr>
          <w:color w:val="000000"/>
        </w:rPr>
        <w:t>,</w:t>
      </w:r>
      <w:r>
        <w:rPr>
          <w:color w:val="000000"/>
        </w:rPr>
        <w:t xml:space="preserve"> </w:t>
      </w:r>
      <w:r w:rsidR="00830967">
        <w:rPr>
          <w:color w:val="000000"/>
        </w:rPr>
        <w:t>now prevalent in developing countries</w:t>
      </w:r>
      <w:r>
        <w:rPr>
          <w:color w:val="000000"/>
        </w:rPr>
        <w:t>.</w:t>
      </w:r>
      <w:r w:rsidRPr="0094422D">
        <w:rPr>
          <w:color w:val="000000"/>
        </w:rPr>
        <w:t xml:space="preserve"> </w:t>
      </w:r>
      <w:r w:rsidR="00AC16A7">
        <w:rPr>
          <w:color w:val="000000"/>
        </w:rPr>
        <w:t xml:space="preserve">Although the proportion of Brazil’s population aged over 45 is lower than average for this group of countries, </w:t>
      </w:r>
      <w:r w:rsidR="00830967">
        <w:rPr>
          <w:color w:val="000000"/>
        </w:rPr>
        <w:t>Brazil’s</w:t>
      </w:r>
      <w:r w:rsidRPr="0094422D">
        <w:rPr>
          <w:color w:val="000000"/>
        </w:rPr>
        <w:t xml:space="preserve"> </w:t>
      </w:r>
      <w:r w:rsidR="00830967">
        <w:rPr>
          <w:color w:val="000000"/>
        </w:rPr>
        <w:t>population is</w:t>
      </w:r>
      <w:r w:rsidRPr="0094422D">
        <w:rPr>
          <w:color w:val="000000"/>
        </w:rPr>
        <w:t xml:space="preserve"> ageing</w:t>
      </w:r>
      <w:r w:rsidR="00AC16A7">
        <w:rPr>
          <w:color w:val="000000"/>
        </w:rPr>
        <w:t xml:space="preserve"> quite rapidly </w:t>
      </w:r>
      <w:r w:rsidR="00AC16A7" w:rsidRPr="0094422D">
        <w:rPr>
          <w:color w:val="000000"/>
        </w:rPr>
        <w:t>and</w:t>
      </w:r>
      <w:r w:rsidRPr="0094422D">
        <w:rPr>
          <w:color w:val="000000"/>
        </w:rPr>
        <w:t xml:space="preserve"> </w:t>
      </w:r>
      <w:r w:rsidR="00830967">
        <w:rPr>
          <w:color w:val="000000"/>
        </w:rPr>
        <w:t xml:space="preserve">is </w:t>
      </w:r>
      <w:r w:rsidRPr="0094422D">
        <w:rPr>
          <w:color w:val="000000"/>
        </w:rPr>
        <w:t>thus an emerging problem</w:t>
      </w:r>
      <w:r w:rsidR="00830967">
        <w:rPr>
          <w:color w:val="000000"/>
        </w:rPr>
        <w:t xml:space="preserve"> for its work force.</w:t>
      </w:r>
      <w:r w:rsidRPr="0094422D">
        <w:rPr>
          <w:color w:val="000000"/>
        </w:rPr>
        <w:t xml:space="preserve"> </w:t>
      </w:r>
      <w:r w:rsidR="00AC16A7">
        <w:rPr>
          <w:color w:val="000000"/>
        </w:rPr>
        <w:t>The increase in the proportion of its</w:t>
      </w:r>
      <w:r w:rsidRPr="0094422D">
        <w:rPr>
          <w:color w:val="000000"/>
        </w:rPr>
        <w:t xml:space="preserve"> work force aged 50-64 out to 2030 is </w:t>
      </w:r>
      <w:r w:rsidR="00AC16A7">
        <w:rPr>
          <w:color w:val="000000"/>
        </w:rPr>
        <w:t>one of the larger of this group of countries</w:t>
      </w:r>
      <w:r w:rsidRPr="0094422D">
        <w:rPr>
          <w:color w:val="000000"/>
        </w:rPr>
        <w:t xml:space="preserve">. </w:t>
      </w:r>
      <w:r w:rsidR="00AC16A7">
        <w:rPr>
          <w:color w:val="000000"/>
        </w:rPr>
        <w:t>Moreover</w:t>
      </w:r>
      <w:r w:rsidRPr="0094422D">
        <w:rPr>
          <w:color w:val="000000"/>
        </w:rPr>
        <w:t xml:space="preserve"> Brazil has a </w:t>
      </w:r>
      <w:r w:rsidR="00AC16A7">
        <w:rPr>
          <w:color w:val="000000"/>
        </w:rPr>
        <w:t xml:space="preserve">high burden from </w:t>
      </w:r>
      <w:r w:rsidR="00AC16A7" w:rsidRPr="00A459ED">
        <w:t>no</w:t>
      </w:r>
      <w:r w:rsidR="00AC16A7">
        <w:t>n-communicable diseases (NCDs)</w:t>
      </w:r>
      <w:r w:rsidR="00276342">
        <w:rPr>
          <w:color w:val="000000"/>
        </w:rPr>
        <w:t>.</w:t>
      </w:r>
      <w:r w:rsidR="00830967">
        <w:rPr>
          <w:color w:val="000000"/>
        </w:rPr>
        <w:t xml:space="preserve"> Amongst this group of countries it has relatively high levels of disease burden across a </w:t>
      </w:r>
      <w:r w:rsidR="00276342">
        <w:rPr>
          <w:color w:val="000000"/>
        </w:rPr>
        <w:t xml:space="preserve">wide </w:t>
      </w:r>
      <w:r w:rsidR="00830967">
        <w:rPr>
          <w:color w:val="000000"/>
        </w:rPr>
        <w:t xml:space="preserve">range of </w:t>
      </w:r>
      <w:r w:rsidR="00276342">
        <w:rPr>
          <w:color w:val="000000"/>
        </w:rPr>
        <w:t>diseases</w:t>
      </w:r>
      <w:r w:rsidR="00276342" w:rsidRPr="00276342">
        <w:t xml:space="preserve"> </w:t>
      </w:r>
      <w:r w:rsidR="00276342">
        <w:t xml:space="preserve">which include </w:t>
      </w:r>
      <w:r w:rsidR="00B06992">
        <w:rPr>
          <w:lang w:eastAsia="en-AU"/>
        </w:rPr>
        <w:t>including cardio vascular disease, mental illness, muscular skeletal and neurological conditions.</w:t>
      </w:r>
    </w:p>
    <w:p w:rsidR="009A16BC" w:rsidRPr="00373D36" w:rsidRDefault="009A16BC" w:rsidP="00B06992">
      <w:pPr>
        <w:pStyle w:val="Heading2"/>
      </w:pPr>
      <w:r>
        <w:t>C</w:t>
      </w:r>
      <w:r w:rsidRPr="00373D36">
        <w:t>ontext of the Study</w:t>
      </w:r>
      <w:bookmarkEnd w:id="0"/>
    </w:p>
    <w:p w:rsidR="009A16BC" w:rsidRDefault="009A16BC" w:rsidP="001071FB">
      <w:pPr>
        <w:spacing w:after="120"/>
      </w:pPr>
      <w:r w:rsidRPr="0087243E">
        <w:t>In spite of very different circumstances, most countries face three challenges in common:</w:t>
      </w:r>
      <w:r w:rsidRPr="00A459ED">
        <w:t xml:space="preserve"> </w:t>
      </w:r>
    </w:p>
    <w:p w:rsidR="009A16BC" w:rsidRPr="00A459ED" w:rsidRDefault="009A16BC" w:rsidP="009A16BC">
      <w:pPr>
        <w:pStyle w:val="ListParagraph"/>
        <w:numPr>
          <w:ilvl w:val="0"/>
          <w:numId w:val="1"/>
        </w:numPr>
        <w:spacing w:after="0"/>
        <w:rPr>
          <w:color w:val="000000"/>
        </w:rPr>
      </w:pPr>
      <w:r w:rsidRPr="00A459ED">
        <w:t xml:space="preserve">their populations are ageing, in different ways and to different degrees; </w:t>
      </w:r>
    </w:p>
    <w:p w:rsidR="009A16BC" w:rsidRPr="00A459ED" w:rsidRDefault="009A16BC" w:rsidP="009A16BC">
      <w:pPr>
        <w:pStyle w:val="ListParagraph"/>
        <w:numPr>
          <w:ilvl w:val="0"/>
          <w:numId w:val="1"/>
        </w:numPr>
        <w:spacing w:after="0"/>
        <w:rPr>
          <w:color w:val="000000"/>
        </w:rPr>
      </w:pPr>
      <w:r w:rsidRPr="00A459ED">
        <w:t>there is an existing high prevalence of non-communicable diseases (NCDs)</w:t>
      </w:r>
      <w:r w:rsidR="00B06992">
        <w:t>,</w:t>
      </w:r>
      <w:r w:rsidRPr="00A459ED">
        <w:t xml:space="preserve"> such as heart and respiratory disease, stroke, cancer and mental illness</w:t>
      </w:r>
      <w:r w:rsidR="00B06992">
        <w:t>,</w:t>
      </w:r>
      <w:r w:rsidR="00B06992" w:rsidRPr="00B06992">
        <w:t xml:space="preserve"> </w:t>
      </w:r>
      <w:r w:rsidR="00B06992">
        <w:t>particularly for older age groups</w:t>
      </w:r>
      <w:r w:rsidRPr="00A459ED">
        <w:t xml:space="preserve">; and </w:t>
      </w:r>
    </w:p>
    <w:p w:rsidR="009A16BC" w:rsidRPr="008A01A3" w:rsidRDefault="009A16BC" w:rsidP="009A16BC">
      <w:pPr>
        <w:pStyle w:val="ListParagraph"/>
        <w:numPr>
          <w:ilvl w:val="0"/>
          <w:numId w:val="1"/>
        </w:numPr>
        <w:spacing w:after="0"/>
        <w:rPr>
          <w:color w:val="000000"/>
        </w:rPr>
      </w:pPr>
      <w:r w:rsidRPr="00A459ED">
        <w:t xml:space="preserve">many risk factors for the future incidence of NCDs are high, and in some cases continuing to rise. </w:t>
      </w:r>
    </w:p>
    <w:p w:rsidR="009A16BC" w:rsidRPr="00A459ED" w:rsidRDefault="009A16BC" w:rsidP="009A16BC">
      <w:pPr>
        <w:pStyle w:val="ListParagraph"/>
        <w:spacing w:after="0"/>
        <w:rPr>
          <w:color w:val="000000"/>
        </w:rPr>
      </w:pPr>
    </w:p>
    <w:p w:rsidR="009A16BC" w:rsidRDefault="009A16BC" w:rsidP="009A16BC">
      <w:pPr>
        <w:rPr>
          <w:color w:val="000000"/>
        </w:rPr>
      </w:pPr>
      <w:r w:rsidRPr="00A459ED">
        <w:rPr>
          <w:color w:val="000000"/>
        </w:rPr>
        <w:lastRenderedPageBreak/>
        <w:t xml:space="preserve">Taken together these factors already impose heavy costs on business, governments and individuals, and threaten much greater costs in the future. </w:t>
      </w:r>
      <w:r>
        <w:rPr>
          <w:color w:val="000000"/>
        </w:rPr>
        <w:t>The economic costs arise largely because due to ill health</w:t>
      </w:r>
      <w:r w:rsidR="006D4283">
        <w:rPr>
          <w:color w:val="000000"/>
        </w:rPr>
        <w:t>,</w:t>
      </w:r>
      <w:r>
        <w:rPr>
          <w:color w:val="000000"/>
        </w:rPr>
        <w:t xml:space="preserve"> people aren’t able to work as much as they would like. The may either be sick and absent from work (absenteeism), present at work but not working at full capacity due to illness (presenteeism)</w:t>
      </w:r>
      <w:r w:rsidR="006D4283">
        <w:rPr>
          <w:color w:val="000000"/>
        </w:rPr>
        <w:t>,</w:t>
      </w:r>
      <w:r w:rsidR="005D0C55">
        <w:rPr>
          <w:color w:val="000000"/>
        </w:rPr>
        <w:t xml:space="preserve"> or retired prematurely, say from aged 50 -64 due to ill health (early retirement due to ill health). The economic costs</w:t>
      </w:r>
      <w:r w:rsidR="000138B3">
        <w:rPr>
          <w:color w:val="000000"/>
        </w:rPr>
        <w:t xml:space="preserve"> on productivity</w:t>
      </w:r>
      <w:r w:rsidR="005D0C55">
        <w:rPr>
          <w:color w:val="000000"/>
        </w:rPr>
        <w:t xml:space="preserve"> imposed by each of these groups has been modelled and included in this report. There are others who may not work at any time due an incapacity</w:t>
      </w:r>
      <w:r w:rsidR="006D4283">
        <w:rPr>
          <w:color w:val="000000"/>
        </w:rPr>
        <w:t xml:space="preserve"> and/</w:t>
      </w:r>
      <w:r w:rsidR="005D0C55">
        <w:rPr>
          <w:color w:val="000000"/>
        </w:rPr>
        <w:t>or health condition which has been present for most of their lives. This group is not explicitly covered in this report.</w:t>
      </w:r>
    </w:p>
    <w:p w:rsidR="009A16BC" w:rsidRDefault="00B06992" w:rsidP="001071FB">
      <w:pPr>
        <w:spacing w:after="120"/>
        <w:rPr>
          <w:color w:val="000000"/>
        </w:rPr>
      </w:pPr>
      <w:r>
        <w:rPr>
          <w:color w:val="000000"/>
        </w:rPr>
        <w:t xml:space="preserve">Following an initial report </w:t>
      </w:r>
      <w:r w:rsidRPr="00A459ED">
        <w:rPr>
          <w:color w:val="000000"/>
        </w:rPr>
        <w:t xml:space="preserve">for </w:t>
      </w:r>
      <w:r w:rsidRPr="00A459ED">
        <w:rPr>
          <w:rFonts w:cs="Calibri"/>
          <w:color w:val="000000" w:themeColor="text1"/>
          <w:szCs w:val="22"/>
        </w:rPr>
        <w:t>the APEC Business Advisory Council (ABAC) and the Life Science</w:t>
      </w:r>
      <w:r w:rsidR="00FE36BF">
        <w:rPr>
          <w:rFonts w:cs="Calibri"/>
          <w:color w:val="000000" w:themeColor="text1"/>
          <w:szCs w:val="22"/>
        </w:rPr>
        <w:t>s</w:t>
      </w:r>
      <w:r w:rsidRPr="00A459ED">
        <w:rPr>
          <w:rFonts w:cs="Calibri"/>
          <w:color w:val="000000" w:themeColor="text1"/>
          <w:szCs w:val="22"/>
        </w:rPr>
        <w:t xml:space="preserve"> </w:t>
      </w:r>
      <w:r w:rsidR="00FE36BF">
        <w:rPr>
          <w:rFonts w:cs="Calibri"/>
          <w:color w:val="000000" w:themeColor="text1"/>
          <w:szCs w:val="22"/>
        </w:rPr>
        <w:t>Innovation</w:t>
      </w:r>
      <w:r w:rsidRPr="00A459ED">
        <w:rPr>
          <w:rFonts w:cs="Calibri"/>
          <w:color w:val="000000" w:themeColor="text1"/>
          <w:szCs w:val="22"/>
        </w:rPr>
        <w:t xml:space="preserve"> Forum (LSIF) </w:t>
      </w:r>
      <w:r>
        <w:rPr>
          <w:rFonts w:cs="Calibri"/>
          <w:color w:val="000000" w:themeColor="text1"/>
          <w:szCs w:val="22"/>
        </w:rPr>
        <w:t>in 2014</w:t>
      </w:r>
      <w:r w:rsidR="00FE36BF">
        <w:rPr>
          <w:rFonts w:cs="Calibri"/>
          <w:color w:val="000000" w:themeColor="text1"/>
          <w:szCs w:val="22"/>
        </w:rPr>
        <w:t>,</w:t>
      </w:r>
      <w:r>
        <w:rPr>
          <w:rFonts w:cs="Calibri"/>
          <w:color w:val="000000" w:themeColor="text1"/>
          <w:szCs w:val="22"/>
        </w:rPr>
        <w:t xml:space="preserve"> </w:t>
      </w:r>
      <w:r w:rsidR="009A16BC">
        <w:rPr>
          <w:color w:val="000000"/>
        </w:rPr>
        <w:t xml:space="preserve">VISES has prepared </w:t>
      </w:r>
      <w:r w:rsidR="00FE36BF">
        <w:rPr>
          <w:color w:val="000000"/>
        </w:rPr>
        <w:t>four</w:t>
      </w:r>
      <w:r w:rsidR="009A16BC">
        <w:rPr>
          <w:color w:val="000000"/>
        </w:rPr>
        <w:t xml:space="preserve"> reports</w:t>
      </w:r>
      <w:r w:rsidR="00FE36BF">
        <w:rPr>
          <w:color w:val="000000"/>
        </w:rPr>
        <w:t>,</w:t>
      </w:r>
      <w:r w:rsidR="009A16BC">
        <w:rPr>
          <w:color w:val="000000"/>
        </w:rPr>
        <w:t xml:space="preserve"> </w:t>
      </w:r>
      <w:r w:rsidR="00FE36BF">
        <w:rPr>
          <w:lang w:eastAsia="en-AU"/>
        </w:rPr>
        <w:t xml:space="preserve">Sheehan et al. (2014), </w:t>
      </w:r>
      <w:r w:rsidR="00FE36BF">
        <w:rPr>
          <w:color w:val="000000"/>
        </w:rPr>
        <w:t xml:space="preserve">(Sweeny et al. (2014) and </w:t>
      </w:r>
      <w:r w:rsidR="00FE36BF">
        <w:rPr>
          <w:lang w:eastAsia="en-AU"/>
        </w:rPr>
        <w:t>Rasmussen et al. (2015a, 2015b)</w:t>
      </w:r>
      <w:r w:rsidR="00FE36BF" w:rsidRPr="00A459ED">
        <w:rPr>
          <w:color w:val="000000"/>
        </w:rPr>
        <w:t xml:space="preserve"> </w:t>
      </w:r>
      <w:r w:rsidR="009A16BC">
        <w:rPr>
          <w:color w:val="000000"/>
        </w:rPr>
        <w:t xml:space="preserve">now covering </w:t>
      </w:r>
      <w:r>
        <w:rPr>
          <w:color w:val="000000"/>
        </w:rPr>
        <w:t>eighteen</w:t>
      </w:r>
      <w:r w:rsidR="009A16BC">
        <w:rPr>
          <w:color w:val="000000"/>
        </w:rPr>
        <w:t xml:space="preserve"> countries on three aspects of these economic costs. These are</w:t>
      </w:r>
      <w:r w:rsidR="006D4283">
        <w:rPr>
          <w:color w:val="000000"/>
        </w:rPr>
        <w:t>:</w:t>
      </w:r>
      <w:r w:rsidR="009A16BC">
        <w:rPr>
          <w:color w:val="000000"/>
        </w:rPr>
        <w:t xml:space="preserve"> </w:t>
      </w:r>
    </w:p>
    <w:p w:rsidR="009A16BC" w:rsidRDefault="009A16BC" w:rsidP="009A16BC">
      <w:pPr>
        <w:pStyle w:val="ListParagraph"/>
        <w:numPr>
          <w:ilvl w:val="0"/>
          <w:numId w:val="2"/>
        </w:numPr>
        <w:rPr>
          <w:color w:val="000000"/>
        </w:rPr>
      </w:pPr>
      <w:r>
        <w:rPr>
          <w:color w:val="000000"/>
        </w:rPr>
        <w:t>absenteei</w:t>
      </w:r>
      <w:r w:rsidR="005D0C55">
        <w:rPr>
          <w:color w:val="000000"/>
        </w:rPr>
        <w:t>sm</w:t>
      </w:r>
      <w:r w:rsidR="006D4283">
        <w:rPr>
          <w:color w:val="000000"/>
        </w:rPr>
        <w:t>;</w:t>
      </w:r>
    </w:p>
    <w:p w:rsidR="005D0C55" w:rsidRDefault="005D0C55" w:rsidP="009A16BC">
      <w:pPr>
        <w:pStyle w:val="ListParagraph"/>
        <w:numPr>
          <w:ilvl w:val="0"/>
          <w:numId w:val="2"/>
        </w:numPr>
        <w:rPr>
          <w:color w:val="000000"/>
        </w:rPr>
      </w:pPr>
      <w:r>
        <w:rPr>
          <w:color w:val="000000"/>
        </w:rPr>
        <w:t>presenteeism</w:t>
      </w:r>
      <w:r w:rsidR="006D4283">
        <w:rPr>
          <w:color w:val="000000"/>
        </w:rPr>
        <w:t>; and</w:t>
      </w:r>
    </w:p>
    <w:p w:rsidR="005D0C55" w:rsidRPr="009A16BC" w:rsidRDefault="005D0C55" w:rsidP="009A16BC">
      <w:pPr>
        <w:pStyle w:val="ListParagraph"/>
        <w:numPr>
          <w:ilvl w:val="0"/>
          <w:numId w:val="2"/>
        </w:numPr>
        <w:rPr>
          <w:color w:val="000000"/>
        </w:rPr>
      </w:pPr>
      <w:r>
        <w:rPr>
          <w:color w:val="000000"/>
        </w:rPr>
        <w:t>early retirement due to ill health</w:t>
      </w:r>
      <w:r w:rsidR="006D4283">
        <w:rPr>
          <w:color w:val="000000"/>
        </w:rPr>
        <w:t>.</w:t>
      </w:r>
    </w:p>
    <w:p w:rsidR="009A16BC" w:rsidRDefault="009A16BC" w:rsidP="009A16BC">
      <w:pPr>
        <w:rPr>
          <w:color w:val="000000"/>
        </w:rPr>
      </w:pPr>
      <w:r w:rsidRPr="00A459ED">
        <w:rPr>
          <w:color w:val="000000"/>
        </w:rPr>
        <w:t xml:space="preserve">This </w:t>
      </w:r>
      <w:r w:rsidR="00FE36BF">
        <w:rPr>
          <w:color w:val="000000"/>
        </w:rPr>
        <w:t xml:space="preserve">summary </w:t>
      </w:r>
      <w:r w:rsidR="00006226">
        <w:rPr>
          <w:color w:val="000000"/>
        </w:rPr>
        <w:t>report draws on these earlier reports with a focus on Brazil</w:t>
      </w:r>
      <w:r w:rsidR="00FE36BF">
        <w:rPr>
          <w:color w:val="000000"/>
        </w:rPr>
        <w:t xml:space="preserve"> with ten other comparator countries chosen as most relevant from the eighteen</w:t>
      </w:r>
      <w:r w:rsidRPr="00A459ED">
        <w:rPr>
          <w:color w:val="000000"/>
        </w:rPr>
        <w:t>.</w:t>
      </w:r>
      <w:r>
        <w:rPr>
          <w:color w:val="000000"/>
        </w:rPr>
        <w:t xml:space="preserve"> </w:t>
      </w:r>
    </w:p>
    <w:p w:rsidR="002C00E3" w:rsidRPr="00373D36" w:rsidRDefault="002C00E3" w:rsidP="002C00E3">
      <w:pPr>
        <w:pStyle w:val="Heading2"/>
      </w:pPr>
      <w:bookmarkStart w:id="2" w:name="_Toc432083900"/>
      <w:bookmarkStart w:id="3" w:name="_Toc432083898"/>
      <w:r w:rsidRPr="00373D36">
        <w:t>Population and Labour Force Ageing</w:t>
      </w:r>
      <w:bookmarkEnd w:id="2"/>
      <w:r w:rsidRPr="00373D36">
        <w:t xml:space="preserve"> </w:t>
      </w:r>
    </w:p>
    <w:p w:rsidR="009A16BC" w:rsidRPr="00A87F97" w:rsidRDefault="009A16BC" w:rsidP="009A16BC">
      <w:pPr>
        <w:pStyle w:val="Heading3"/>
        <w:rPr>
          <w:rFonts w:ascii="Times New Roman" w:eastAsia="Times New Roman" w:hAnsi="Times New Roman" w:cs="Times New Roman"/>
        </w:rPr>
      </w:pPr>
      <w:r>
        <w:t>Population ageing</w:t>
      </w:r>
      <w:bookmarkEnd w:id="3"/>
    </w:p>
    <w:p w:rsidR="003B638D" w:rsidRPr="00006226" w:rsidRDefault="003B638D" w:rsidP="003B638D">
      <w:pPr>
        <w:rPr>
          <w:bCs/>
        </w:rPr>
      </w:pPr>
      <w:r w:rsidRPr="00006226">
        <w:rPr>
          <w:bCs/>
        </w:rPr>
        <w:t xml:space="preserve">While no single indicator can capture the diversity of ageing patterns, Figure 1 provides one summary indicator, the proportion of the population that is aged 45 years and over. The chart provides actual data for 1980-2010 and projections out to 2030 using the central case of the latest UN population projections (United Nations 2014). </w:t>
      </w:r>
    </w:p>
    <w:p w:rsidR="009A16BC" w:rsidRDefault="00706C6A" w:rsidP="009A16BC">
      <w:r>
        <w:t>In 1980</w:t>
      </w:r>
      <w:r w:rsidR="006D4283">
        <w:t>,</w:t>
      </w:r>
      <w:r>
        <w:t xml:space="preserve"> the proportion of Brazil’s population aged over 45 </w:t>
      </w:r>
      <w:r w:rsidR="00810F72">
        <w:t>was</w:t>
      </w:r>
      <w:r>
        <w:t xml:space="preserve"> 16</w:t>
      </w:r>
      <w:r w:rsidR="002161CB">
        <w:t xml:space="preserve">%, </w:t>
      </w:r>
      <w:r>
        <w:t xml:space="preserve">placing it at the lower end of this group of </w:t>
      </w:r>
      <w:r w:rsidR="00810F72">
        <w:t xml:space="preserve">comparator </w:t>
      </w:r>
      <w:r>
        <w:t>countries</w:t>
      </w:r>
      <w:r w:rsidR="002161CB">
        <w:t>,</w:t>
      </w:r>
      <w:r>
        <w:t xml:space="preserve"> between Mexico at 14</w:t>
      </w:r>
      <w:r w:rsidR="006D4283">
        <w:t>%</w:t>
      </w:r>
      <w:r>
        <w:t xml:space="preserve"> and the US and Poland at 29</w:t>
      </w:r>
      <w:r w:rsidR="002161CB">
        <w:t xml:space="preserve">% </w:t>
      </w:r>
      <w:r w:rsidR="00810F72">
        <w:t>and</w:t>
      </w:r>
      <w:r>
        <w:t xml:space="preserve"> Japan at 30</w:t>
      </w:r>
      <w:r w:rsidR="002161CB">
        <w:t>%</w:t>
      </w:r>
      <w:r>
        <w:t>. In the period to 2015 the proportion for Brazil increased by 13</w:t>
      </w:r>
      <w:r w:rsidR="006D4283">
        <w:t>%</w:t>
      </w:r>
      <w:r w:rsidR="00810F72">
        <w:t>,</w:t>
      </w:r>
      <w:r>
        <w:t xml:space="preserve"> </w:t>
      </w:r>
      <w:r w:rsidR="00FE36BF">
        <w:t>to become</w:t>
      </w:r>
      <w:r>
        <w:t xml:space="preserve"> </w:t>
      </w:r>
      <w:r w:rsidR="00FE36BF">
        <w:rPr>
          <w:lang w:eastAsia="en-AU"/>
        </w:rPr>
        <w:t>the ‘oldest’ of the other Latin American countries in the group.</w:t>
      </w:r>
      <w:r w:rsidR="00FE36BF">
        <w:t xml:space="preserve"> In</w:t>
      </w:r>
      <w:r>
        <w:t xml:space="preserve"> the period to 2030 the increase of 10</w:t>
      </w:r>
      <w:r w:rsidR="006D4283">
        <w:t xml:space="preserve">% </w:t>
      </w:r>
      <w:r>
        <w:t>to 39</w:t>
      </w:r>
      <w:r w:rsidR="006D4283">
        <w:t xml:space="preserve">% </w:t>
      </w:r>
      <w:r>
        <w:t>is the largest increase of any of the selected</w:t>
      </w:r>
      <w:r w:rsidR="00206C4D">
        <w:t>.</w:t>
      </w:r>
    </w:p>
    <w:p w:rsidR="009A16BC" w:rsidRPr="00620021" w:rsidRDefault="009A16BC" w:rsidP="00C66BFD">
      <w:pPr>
        <w:pStyle w:val="Figureheading"/>
        <w:rPr>
          <w:rStyle w:val="Strong"/>
          <w:b/>
          <w:bCs w:val="0"/>
        </w:rPr>
      </w:pPr>
      <w:bookmarkStart w:id="4" w:name="_Toc420418209"/>
      <w:bookmarkStart w:id="5" w:name="_Toc432086647"/>
      <w:r w:rsidRPr="00620021">
        <w:rPr>
          <w:rStyle w:val="Strong"/>
          <w:b/>
        </w:rPr>
        <w:lastRenderedPageBreak/>
        <w:t>Figure 1 Share of population aged 45 years and over, 12 countries, 1980-2030 (projected)</w:t>
      </w:r>
      <w:bookmarkEnd w:id="4"/>
      <w:bookmarkEnd w:id="5"/>
      <w:r w:rsidRPr="00620021">
        <w:rPr>
          <w:rStyle w:val="Strong"/>
          <w:b/>
        </w:rPr>
        <w:t xml:space="preserve"> </w:t>
      </w:r>
    </w:p>
    <w:p w:rsidR="009A16BC" w:rsidRDefault="002161CB" w:rsidP="002D6EA2">
      <w:pPr>
        <w:spacing w:after="0"/>
        <w:rPr>
          <w:rStyle w:val="Strong"/>
          <w:b w:val="0"/>
          <w:sz w:val="18"/>
          <w:szCs w:val="20"/>
        </w:rPr>
      </w:pPr>
      <w:r>
        <w:rPr>
          <w:noProof/>
          <w:lang w:val="en-US"/>
        </w:rPr>
        <w:drawing>
          <wp:inline distT="0" distB="0" distL="0" distR="0" wp14:anchorId="5DFFECD4" wp14:editId="3E2D7887">
            <wp:extent cx="5867400" cy="34480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16BC" w:rsidRPr="002D6EA2" w:rsidRDefault="009A16BC" w:rsidP="009A16BC">
      <w:pPr>
        <w:rPr>
          <w:rStyle w:val="Strong"/>
          <w:b w:val="0"/>
          <w:sz w:val="18"/>
          <w:szCs w:val="20"/>
        </w:rPr>
      </w:pPr>
      <w:r w:rsidRPr="001071FB">
        <w:rPr>
          <w:rStyle w:val="Strong"/>
          <w:b w:val="0"/>
          <w:sz w:val="18"/>
          <w:szCs w:val="20"/>
        </w:rPr>
        <w:t>Source: United Nations (2014).</w:t>
      </w:r>
    </w:p>
    <w:p w:rsidR="00C46EB7" w:rsidRDefault="00C46EB7" w:rsidP="00C46EB7">
      <w:pPr>
        <w:pStyle w:val="Heading3"/>
        <w:rPr>
          <w:lang w:eastAsia="en-AU"/>
        </w:rPr>
      </w:pPr>
      <w:bookmarkStart w:id="6" w:name="_Toc432077552"/>
      <w:r>
        <w:rPr>
          <w:lang w:eastAsia="en-AU"/>
        </w:rPr>
        <w:t>Implications for labour supply</w:t>
      </w:r>
      <w:bookmarkEnd w:id="6"/>
      <w:r>
        <w:rPr>
          <w:lang w:eastAsia="en-AU"/>
        </w:rPr>
        <w:t xml:space="preserve"> </w:t>
      </w:r>
    </w:p>
    <w:p w:rsidR="00C46EB7" w:rsidRDefault="00C46EB7" w:rsidP="00C46EB7">
      <w:pPr>
        <w:rPr>
          <w:lang w:eastAsia="en-AU"/>
        </w:rPr>
      </w:pPr>
      <w:r>
        <w:rPr>
          <w:lang w:eastAsia="en-AU"/>
        </w:rPr>
        <w:t>The population shifts discussed above, which showed increases in those aged over 45, ha</w:t>
      </w:r>
      <w:r w:rsidR="001712DA">
        <w:rPr>
          <w:lang w:eastAsia="en-AU"/>
        </w:rPr>
        <w:t>ve</w:t>
      </w:r>
      <w:r>
        <w:rPr>
          <w:lang w:eastAsia="en-AU"/>
        </w:rPr>
        <w:t xml:space="preserve"> significant implications for the incidence of </w:t>
      </w:r>
      <w:r w:rsidR="00314BBD">
        <w:rPr>
          <w:lang w:eastAsia="en-AU"/>
        </w:rPr>
        <w:t>NCDs</w:t>
      </w:r>
      <w:r>
        <w:rPr>
          <w:lang w:eastAsia="en-AU"/>
        </w:rPr>
        <w:t xml:space="preserve"> since they have higher rates of prevalence in older age groups. These higher rates of NCDs contribute to the higher levels of absenteeism, presenteeism and early retirement. </w:t>
      </w:r>
    </w:p>
    <w:p w:rsidR="00800428" w:rsidRDefault="00C46EB7" w:rsidP="00C46EB7">
      <w:pPr>
        <w:rPr>
          <w:lang w:eastAsia="en-AU"/>
        </w:rPr>
      </w:pPr>
      <w:r>
        <w:rPr>
          <w:lang w:eastAsia="en-AU"/>
        </w:rPr>
        <w:t xml:space="preserve">Figure </w:t>
      </w:r>
      <w:r w:rsidR="00411E9D">
        <w:rPr>
          <w:lang w:eastAsia="en-AU"/>
        </w:rPr>
        <w:t xml:space="preserve">2 </w:t>
      </w:r>
      <w:r>
        <w:rPr>
          <w:lang w:eastAsia="en-AU"/>
        </w:rPr>
        <w:t xml:space="preserve">focuses on the preretirement workforce aged 50-64. It shows the changes in this age group as a proportion of the total labour force over the period 2000 to 2030 (projected). The pattern for </w:t>
      </w:r>
      <w:r w:rsidR="00D97E42">
        <w:rPr>
          <w:lang w:eastAsia="en-AU"/>
        </w:rPr>
        <w:t xml:space="preserve">Brazil is very similar to the other </w:t>
      </w:r>
      <w:r>
        <w:rPr>
          <w:lang w:eastAsia="en-AU"/>
        </w:rPr>
        <w:t xml:space="preserve">Latin American countries </w:t>
      </w:r>
      <w:r w:rsidR="00D97E42">
        <w:rPr>
          <w:lang w:eastAsia="en-AU"/>
        </w:rPr>
        <w:t>in this group – Colombia, Mexico and Peru</w:t>
      </w:r>
      <w:r>
        <w:rPr>
          <w:lang w:eastAsia="en-AU"/>
        </w:rPr>
        <w:t xml:space="preserve">. </w:t>
      </w:r>
      <w:r w:rsidR="00D97E42">
        <w:rPr>
          <w:lang w:eastAsia="en-AU"/>
        </w:rPr>
        <w:t xml:space="preserve">The proportion aged 50-64 is relatively low in 2000 compared with many other countries in this group, particularly Japan, Poland and the US, </w:t>
      </w:r>
      <w:r w:rsidR="00314BBD">
        <w:rPr>
          <w:lang w:eastAsia="en-AU"/>
        </w:rPr>
        <w:t>and</w:t>
      </w:r>
      <w:r w:rsidR="00D97E42">
        <w:rPr>
          <w:lang w:eastAsia="en-AU"/>
        </w:rPr>
        <w:t xml:space="preserve"> also South Africa and India.</w:t>
      </w:r>
      <w:r w:rsidR="007748D7">
        <w:rPr>
          <w:lang w:eastAsia="en-AU"/>
        </w:rPr>
        <w:t xml:space="preserve"> It remains lower than </w:t>
      </w:r>
      <w:r w:rsidR="00314BBD">
        <w:rPr>
          <w:lang w:eastAsia="en-AU"/>
        </w:rPr>
        <w:t>average over the period to 2015.</w:t>
      </w:r>
    </w:p>
    <w:p w:rsidR="00C46EB7" w:rsidRDefault="00C46EB7" w:rsidP="00C66BFD">
      <w:pPr>
        <w:pStyle w:val="Figureheading"/>
      </w:pPr>
      <w:bookmarkStart w:id="7" w:name="_Toc432077576"/>
      <w:r>
        <w:lastRenderedPageBreak/>
        <w:t xml:space="preserve">Figure </w:t>
      </w:r>
      <w:r w:rsidR="00411E9D">
        <w:t xml:space="preserve">2 </w:t>
      </w:r>
      <w:r>
        <w:t>Proportion of the labour force aged 50-64, ten countries, 2000, 2010, 2015 and 2030 (projected)</w:t>
      </w:r>
      <w:bookmarkEnd w:id="7"/>
      <w:r>
        <w:t xml:space="preserve"> </w:t>
      </w:r>
    </w:p>
    <w:p w:rsidR="00C46EB7" w:rsidRPr="001071FB" w:rsidRDefault="00314BBD">
      <w:pPr>
        <w:rPr>
          <w:sz w:val="18"/>
          <w:szCs w:val="18"/>
        </w:rPr>
      </w:pPr>
      <w:r>
        <w:rPr>
          <w:noProof/>
          <w:lang w:val="en-US"/>
        </w:rPr>
        <mc:AlternateContent>
          <mc:Choice Requires="wps">
            <w:drawing>
              <wp:anchor distT="0" distB="0" distL="114300" distR="114300" simplePos="0" relativeHeight="251656192" behindDoc="0" locked="0" layoutInCell="1" allowOverlap="1" wp14:anchorId="3BFA40B0" wp14:editId="0A9086E4">
                <wp:simplePos x="0" y="0"/>
                <wp:positionH relativeFrom="column">
                  <wp:posOffset>571499</wp:posOffset>
                </wp:positionH>
                <wp:positionV relativeFrom="paragraph">
                  <wp:posOffset>545465</wp:posOffset>
                </wp:positionV>
                <wp:extent cx="168275" cy="990600"/>
                <wp:effectExtent l="76200" t="0" r="22225" b="57150"/>
                <wp:wrapNone/>
                <wp:docPr id="8" name="Elbow Connector 8"/>
                <wp:cNvGraphicFramePr/>
                <a:graphic xmlns:a="http://schemas.openxmlformats.org/drawingml/2006/main">
                  <a:graphicData uri="http://schemas.microsoft.com/office/word/2010/wordprocessingShape">
                    <wps:wsp>
                      <wps:cNvCnPr/>
                      <wps:spPr>
                        <a:xfrm flipH="1">
                          <a:off x="0" y="0"/>
                          <a:ext cx="168275" cy="990600"/>
                        </a:xfrm>
                        <a:prstGeom prst="bentConnector3">
                          <a:avLst>
                            <a:gd name="adj1" fmla="val 10068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E8871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45pt;margin-top:42.95pt;width:13.25pt;height:7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" adj="21747" strokecolor="#5b9bd5 [3204]" strokeweight=".5pt">
                <v:stroke endarrow="block"/>
              </v:shape>
            </w:pict>
          </mc:Fallback>
        </mc:AlternateContent>
      </w:r>
      <w:r>
        <w:rPr>
          <w:noProof/>
          <w:lang w:val="en-US"/>
        </w:rPr>
        <mc:AlternateContent>
          <mc:Choice Requires="wps">
            <w:drawing>
              <wp:anchor distT="0" distB="0" distL="114300" distR="114300" simplePos="0" relativeHeight="251658240" behindDoc="0" locked="0" layoutInCell="1" allowOverlap="1" wp14:anchorId="7A4B4392" wp14:editId="346C262F">
                <wp:simplePos x="0" y="0"/>
                <wp:positionH relativeFrom="column">
                  <wp:posOffset>4536440</wp:posOffset>
                </wp:positionH>
                <wp:positionV relativeFrom="paragraph">
                  <wp:posOffset>802005</wp:posOffset>
                </wp:positionV>
                <wp:extent cx="0" cy="332230"/>
                <wp:effectExtent l="76200" t="0" r="76200" b="48895"/>
                <wp:wrapNone/>
                <wp:docPr id="9" name="Straight Arrow Connector 9"/>
                <wp:cNvGraphicFramePr/>
                <a:graphic xmlns:a="http://schemas.openxmlformats.org/drawingml/2006/main">
                  <a:graphicData uri="http://schemas.microsoft.com/office/word/2010/wordprocessingShape">
                    <wps:wsp>
                      <wps:cNvCnPr/>
                      <wps:spPr>
                        <a:xfrm>
                          <a:off x="0" y="0"/>
                          <a:ext cx="0" cy="3322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w14:anchorId="17591E88" id="_x0000_t32" coordsize="21600,21600" o:spt="32" o:oned="t" path="m,l21600,21600e" filled="f">
                <v:path arrowok="t" fillok="f" o:connecttype="none"/>
                <o:lock v:ext="edit" shapetype="t"/>
              </v:shapetype>
              <v:shape id="Straight Arrow Connector 9" o:spid="_x0000_s1026" type="#_x0000_t32" style="position:absolute;margin-left:357.2pt;margin-top:63.15pt;width:0;height:26.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" strokecolor="#5b9bd5 [3204]" strokeweight=".5pt">
                <v:stroke endarrow="block" joinstyle="miter"/>
              </v:shape>
            </w:pict>
          </mc:Fallback>
        </mc:AlternateContent>
      </w:r>
      <w:r w:rsidR="00C46EB7">
        <w:rPr>
          <w:noProof/>
          <w:lang w:val="en-US"/>
        </w:rPr>
        <mc:AlternateContent>
          <mc:Choice Requires="wps">
            <w:drawing>
              <wp:anchor distT="0" distB="0" distL="114300" distR="114300" simplePos="0" relativeHeight="251660288" behindDoc="0" locked="0" layoutInCell="1" allowOverlap="1" wp14:anchorId="0461CE99" wp14:editId="373F6500">
                <wp:simplePos x="0" y="0"/>
                <wp:positionH relativeFrom="column">
                  <wp:posOffset>4100239</wp:posOffset>
                </wp:positionH>
                <wp:positionV relativeFrom="paragraph">
                  <wp:posOffset>428540</wp:posOffset>
                </wp:positionV>
                <wp:extent cx="867807" cy="250441"/>
                <wp:effectExtent l="0" t="0" r="27940" b="16510"/>
                <wp:wrapNone/>
                <wp:docPr id="7" name="Text Box 7"/>
                <wp:cNvGraphicFramePr/>
                <a:graphic xmlns:a="http://schemas.openxmlformats.org/drawingml/2006/main">
                  <a:graphicData uri="http://schemas.microsoft.com/office/word/2010/wordprocessingShape">
                    <wps:wsp>
                      <wps:cNvSpPr txBox="1"/>
                      <wps:spPr>
                        <a:xfrm>
                          <a:off x="0" y="0"/>
                          <a:ext cx="867807" cy="2504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16A7" w:rsidRDefault="00AC16A7">
                            <w:r>
                              <w:t>Brazil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461CE99" id="_x0000_t202" coordsize="21600,21600" o:spt="202" path="m,l,21600r21600,l21600,xe">
                <v:stroke joinstyle="miter"/>
                <v:path gradientshapeok="t" o:connecttype="rect"/>
              </v:shapetype>
              <v:shape id="Text Box 7" o:spid="_x0000_s1026" type="#_x0000_t202" style="position:absolute;margin-left:322.85pt;margin-top:33.75pt;width:68.35pt;height:1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" fillcolor="white [3201]" strokeweight=".5pt">
                <v:textbox>
                  <w:txbxContent>
                    <w:p w:rsidR="00AC16A7" w:rsidRDefault="00AC16A7">
                      <w:r>
                        <w:t>Brazil 2030</w:t>
                      </w:r>
                    </w:p>
                  </w:txbxContent>
                </v:textbox>
              </v:shape>
            </w:pict>
          </mc:Fallback>
        </mc:AlternateContent>
      </w:r>
      <w:r w:rsidR="00C46EB7">
        <w:rPr>
          <w:noProof/>
          <w:lang w:val="en-US"/>
        </w:rPr>
        <mc:AlternateContent>
          <mc:Choice Requires="wps">
            <w:drawing>
              <wp:anchor distT="0" distB="0" distL="114300" distR="114300" simplePos="0" relativeHeight="251659264" behindDoc="0" locked="0" layoutInCell="1" allowOverlap="1" wp14:anchorId="16128B4B" wp14:editId="60766B00">
                <wp:simplePos x="0" y="0"/>
                <wp:positionH relativeFrom="column">
                  <wp:posOffset>739674</wp:posOffset>
                </wp:positionH>
                <wp:positionV relativeFrom="paragraph">
                  <wp:posOffset>399419</wp:posOffset>
                </wp:positionV>
                <wp:extent cx="902751" cy="291210"/>
                <wp:effectExtent l="0" t="0" r="12065" b="13970"/>
                <wp:wrapNone/>
                <wp:docPr id="6" name="Text Box 6"/>
                <wp:cNvGraphicFramePr/>
                <a:graphic xmlns:a="http://schemas.openxmlformats.org/drawingml/2006/main">
                  <a:graphicData uri="http://schemas.microsoft.com/office/word/2010/wordprocessingShape">
                    <wps:wsp>
                      <wps:cNvSpPr txBox="1"/>
                      <wps:spPr>
                        <a:xfrm>
                          <a:off x="0" y="0"/>
                          <a:ext cx="902751" cy="2912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C16A7" w:rsidRDefault="00AC16A7">
                            <w:r>
                              <w:t>Brazil 2000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128B4B" id="Text Box 6" o:spid="_x0000_s1027" type="#_x0000_t202" style="position:absolute;margin-left:58.25pt;margin-top:31.45pt;width:71.1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" fillcolor="white [3201]" strokeweight=".5pt">
                <v:textbox>
                  <w:txbxContent>
                    <w:p w:rsidR="00AC16A7" w:rsidRDefault="00AC16A7">
                      <w:r>
                        <w:t>Brazil 2000</w:t>
                      </w:r>
                    </w:p>
                  </w:txbxContent>
                </v:textbox>
              </v:shape>
            </w:pict>
          </mc:Fallback>
        </mc:AlternateContent>
      </w:r>
      <w:r w:rsidR="00C46EB7">
        <w:rPr>
          <w:noProof/>
          <w:lang w:val="en-US"/>
        </w:rPr>
        <w:drawing>
          <wp:inline distT="0" distB="0" distL="0" distR="0" wp14:anchorId="39F3C607" wp14:editId="5800CB04">
            <wp:extent cx="5448300" cy="33337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B6E2C">
        <w:br/>
      </w:r>
      <w:r w:rsidR="004B6E2C" w:rsidRPr="001071FB">
        <w:rPr>
          <w:sz w:val="18"/>
          <w:szCs w:val="18"/>
        </w:rPr>
        <w:t xml:space="preserve">Source: </w:t>
      </w:r>
      <w:r w:rsidR="00B64877" w:rsidRPr="001071FB">
        <w:rPr>
          <w:sz w:val="18"/>
          <w:szCs w:val="18"/>
        </w:rPr>
        <w:t>ILO</w:t>
      </w:r>
      <w:r w:rsidR="00E811A1">
        <w:rPr>
          <w:sz w:val="18"/>
          <w:szCs w:val="18"/>
        </w:rPr>
        <w:t xml:space="preserve"> (2014)</w:t>
      </w:r>
      <w:r w:rsidR="00411E9D">
        <w:rPr>
          <w:sz w:val="18"/>
          <w:szCs w:val="18"/>
        </w:rPr>
        <w:t>.</w:t>
      </w:r>
    </w:p>
    <w:p w:rsidR="00800428" w:rsidRDefault="00800428" w:rsidP="00800428">
      <w:pPr>
        <w:rPr>
          <w:lang w:eastAsia="en-AU"/>
        </w:rPr>
      </w:pPr>
      <w:r>
        <w:rPr>
          <w:lang w:eastAsia="en-AU"/>
        </w:rPr>
        <w:t xml:space="preserve">As shown in Figure </w:t>
      </w:r>
      <w:r w:rsidR="00411E9D">
        <w:rPr>
          <w:lang w:eastAsia="en-AU"/>
        </w:rPr>
        <w:t>3</w:t>
      </w:r>
      <w:r>
        <w:rPr>
          <w:lang w:eastAsia="en-AU"/>
        </w:rPr>
        <w:t>, the increase in the proportion for Brazil between 2015 and 2030 at 3.6% is amongst the highest of the comparator countries, although Mexico is even higher at 5%. The increase for Colombia is only 0.6%. As a result over 20% of the work force will be aged 50-64 by 2030 for each of these Latin American countries. The US is noteworthy for being the only country in this group to have a declining proportion in this age cohort.</w:t>
      </w:r>
    </w:p>
    <w:p w:rsidR="00800428" w:rsidRDefault="00800428" w:rsidP="001071FB">
      <w:pPr>
        <w:pStyle w:val="Figureheading"/>
      </w:pPr>
      <w:r>
        <w:t xml:space="preserve">Figure </w:t>
      </w:r>
      <w:r w:rsidR="00411E9D">
        <w:t xml:space="preserve">3 </w:t>
      </w:r>
      <w:r w:rsidR="00E41373">
        <w:t>Increase in the projected p</w:t>
      </w:r>
      <w:r>
        <w:t xml:space="preserve">roportion of the labour force aged 50-64, ten countries, </w:t>
      </w:r>
      <w:r w:rsidR="00E41373">
        <w:t>2015-2030</w:t>
      </w:r>
      <w:r>
        <w:t xml:space="preserve"> </w:t>
      </w:r>
    </w:p>
    <w:p w:rsidR="00800428" w:rsidRPr="001071FB" w:rsidRDefault="00800428">
      <w:pPr>
        <w:rPr>
          <w:sz w:val="18"/>
          <w:szCs w:val="18"/>
        </w:rPr>
      </w:pPr>
      <w:r>
        <w:rPr>
          <w:noProof/>
          <w:lang w:val="en-US"/>
        </w:rPr>
        <w:drawing>
          <wp:inline distT="0" distB="0" distL="0" distR="0" wp14:anchorId="31793571" wp14:editId="1203F37D">
            <wp:extent cx="4429125" cy="25527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4B6E2C">
        <w:br/>
      </w:r>
      <w:r w:rsidR="004B6E2C" w:rsidRPr="001071FB">
        <w:rPr>
          <w:sz w:val="18"/>
          <w:szCs w:val="18"/>
        </w:rPr>
        <w:t xml:space="preserve">Source: </w:t>
      </w:r>
      <w:r w:rsidR="00B64877" w:rsidRPr="001071FB">
        <w:rPr>
          <w:sz w:val="18"/>
          <w:szCs w:val="18"/>
        </w:rPr>
        <w:t>ILO</w:t>
      </w:r>
      <w:r w:rsidR="00E811A1">
        <w:rPr>
          <w:sz w:val="18"/>
          <w:szCs w:val="18"/>
        </w:rPr>
        <w:t xml:space="preserve"> (2014).</w:t>
      </w:r>
    </w:p>
    <w:p w:rsidR="00E41373" w:rsidRDefault="00E41373" w:rsidP="00E41373">
      <w:pPr>
        <w:pStyle w:val="Heading3"/>
        <w:rPr>
          <w:lang w:eastAsia="en-AU"/>
        </w:rPr>
      </w:pPr>
      <w:bookmarkStart w:id="8" w:name="_Toc432077554"/>
      <w:r>
        <w:rPr>
          <w:lang w:eastAsia="en-AU"/>
        </w:rPr>
        <w:t>Burden of disease</w:t>
      </w:r>
      <w:bookmarkEnd w:id="8"/>
    </w:p>
    <w:p w:rsidR="00E41373" w:rsidRDefault="00E41373" w:rsidP="00E41373">
      <w:pPr>
        <w:spacing w:before="240"/>
        <w:rPr>
          <w:lang w:eastAsia="en-AU"/>
        </w:rPr>
      </w:pPr>
      <w:r>
        <w:rPr>
          <w:lang w:eastAsia="en-AU"/>
        </w:rPr>
        <w:t xml:space="preserve">The WHO </w:t>
      </w:r>
      <w:r w:rsidR="009D1340">
        <w:rPr>
          <w:lang w:eastAsia="en-AU"/>
        </w:rPr>
        <w:t>G</w:t>
      </w:r>
      <w:r>
        <w:rPr>
          <w:lang w:eastAsia="en-AU"/>
        </w:rPr>
        <w:t xml:space="preserve">lobal </w:t>
      </w:r>
      <w:r w:rsidR="009D1340">
        <w:rPr>
          <w:lang w:eastAsia="en-AU"/>
        </w:rPr>
        <w:t>B</w:t>
      </w:r>
      <w:r>
        <w:rPr>
          <w:lang w:eastAsia="en-AU"/>
        </w:rPr>
        <w:t xml:space="preserve">urden of </w:t>
      </w:r>
      <w:r w:rsidR="009D1340">
        <w:rPr>
          <w:lang w:eastAsia="en-AU"/>
        </w:rPr>
        <w:t>D</w:t>
      </w:r>
      <w:r>
        <w:rPr>
          <w:lang w:eastAsia="en-AU"/>
        </w:rPr>
        <w:t xml:space="preserve">isease study (Murray et al. 2015) estimates both prevalence and severity of disease. It uses the number of years lived with disability </w:t>
      </w:r>
      <w:r w:rsidR="009D1340">
        <w:rPr>
          <w:lang w:eastAsia="en-AU"/>
        </w:rPr>
        <w:t xml:space="preserve">(YLD) </w:t>
      </w:r>
      <w:r>
        <w:rPr>
          <w:lang w:eastAsia="en-AU"/>
        </w:rPr>
        <w:t>as an indicator of the impact of morbidity arising from disease. The results are grouped in three broad sequelae: c</w:t>
      </w:r>
      <w:r w:rsidRPr="009024E7">
        <w:rPr>
          <w:lang w:eastAsia="en-AU"/>
        </w:rPr>
        <w:t>ommunicable, maternal, perinatal and nutritional conditions</w:t>
      </w:r>
      <w:r>
        <w:rPr>
          <w:lang w:eastAsia="en-AU"/>
        </w:rPr>
        <w:t>, non-communicable diseases (NCDs) and injuries.</w:t>
      </w:r>
    </w:p>
    <w:p w:rsidR="009D1340" w:rsidRDefault="00E41373" w:rsidP="00E41373">
      <w:pPr>
        <w:rPr>
          <w:lang w:eastAsia="en-AU"/>
        </w:rPr>
      </w:pPr>
      <w:r>
        <w:rPr>
          <w:lang w:eastAsia="en-AU"/>
        </w:rPr>
        <w:t xml:space="preserve">Figure </w:t>
      </w:r>
      <w:r w:rsidR="00411E9D">
        <w:rPr>
          <w:lang w:eastAsia="en-AU"/>
        </w:rPr>
        <w:t xml:space="preserve">4 </w:t>
      </w:r>
      <w:r>
        <w:rPr>
          <w:lang w:eastAsia="en-AU"/>
        </w:rPr>
        <w:t xml:space="preserve">shows the burden of disease for </w:t>
      </w:r>
      <w:r w:rsidR="00515C55">
        <w:rPr>
          <w:lang w:eastAsia="en-AU"/>
        </w:rPr>
        <w:t>Brazil and the other</w:t>
      </w:r>
      <w:r>
        <w:rPr>
          <w:lang w:eastAsia="en-AU"/>
        </w:rPr>
        <w:t xml:space="preserve"> ten countries for those in their preretirement years, aged 50-65. The </w:t>
      </w:r>
      <w:r w:rsidR="00411E9D">
        <w:rPr>
          <w:lang w:eastAsia="en-AU"/>
        </w:rPr>
        <w:t xml:space="preserve">figure </w:t>
      </w:r>
      <w:r>
        <w:rPr>
          <w:lang w:eastAsia="en-AU"/>
        </w:rPr>
        <w:t xml:space="preserve">shows that the burden of disease, as measured by YLDs, is highest </w:t>
      </w:r>
      <w:r w:rsidR="00B21E00">
        <w:rPr>
          <w:lang w:eastAsia="en-AU"/>
        </w:rPr>
        <w:t xml:space="preserve">for India, South Africa, Poland and Turkey by virtue of the high </w:t>
      </w:r>
      <w:r w:rsidR="009D1340">
        <w:rPr>
          <w:lang w:eastAsia="en-AU"/>
        </w:rPr>
        <w:t>burden from</w:t>
      </w:r>
      <w:r w:rsidR="00B21E00">
        <w:rPr>
          <w:lang w:eastAsia="en-AU"/>
        </w:rPr>
        <w:t xml:space="preserve"> injuries</w:t>
      </w:r>
      <w:r w:rsidR="00411E9D">
        <w:rPr>
          <w:lang w:eastAsia="en-AU"/>
        </w:rPr>
        <w:t>,</w:t>
      </w:r>
      <w:r w:rsidR="00B21E00">
        <w:rPr>
          <w:lang w:eastAsia="en-AU"/>
        </w:rPr>
        <w:t xml:space="preserve"> and in the case of India and South Africa</w:t>
      </w:r>
      <w:r w:rsidR="009D1340">
        <w:rPr>
          <w:lang w:eastAsia="en-AU"/>
        </w:rPr>
        <w:t>,</w:t>
      </w:r>
      <w:r w:rsidR="00B21E00">
        <w:rPr>
          <w:lang w:eastAsia="en-AU"/>
        </w:rPr>
        <w:t xml:space="preserve"> from non-communicable diseases. </w:t>
      </w:r>
    </w:p>
    <w:p w:rsidR="00E41373" w:rsidRPr="00952DEE" w:rsidRDefault="00E41373" w:rsidP="00C66BFD">
      <w:pPr>
        <w:pStyle w:val="Figureheading"/>
      </w:pPr>
      <w:bookmarkStart w:id="9" w:name="_Toc432077585"/>
      <w:r>
        <w:t xml:space="preserve">Figure </w:t>
      </w:r>
      <w:r w:rsidR="00411E9D">
        <w:t xml:space="preserve">4 </w:t>
      </w:r>
      <w:r>
        <w:t>Burden of disease by cause (YLDs) of those aged 50-64, selected countries and United States, 2010</w:t>
      </w:r>
      <w:bookmarkEnd w:id="9"/>
      <w:r>
        <w:t xml:space="preserve"> </w:t>
      </w:r>
    </w:p>
    <w:p w:rsidR="00E41373" w:rsidRDefault="00B962E1" w:rsidP="00E41373">
      <w:pPr>
        <w:spacing w:after="0"/>
        <w:rPr>
          <w:lang w:eastAsia="en-AU"/>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530578</wp:posOffset>
                </wp:positionH>
                <wp:positionV relativeFrom="paragraph">
                  <wp:posOffset>77610</wp:posOffset>
                </wp:positionV>
                <wp:extent cx="484787" cy="226201"/>
                <wp:effectExtent l="0" t="0" r="0" b="2540"/>
                <wp:wrapNone/>
                <wp:docPr id="5" name="Text Box 5"/>
                <wp:cNvGraphicFramePr/>
                <a:graphic xmlns:a="http://schemas.openxmlformats.org/drawingml/2006/main">
                  <a:graphicData uri="http://schemas.microsoft.com/office/word/2010/wordprocessingShape">
                    <wps:wsp>
                      <wps:cNvSpPr txBox="1"/>
                      <wps:spPr>
                        <a:xfrm>
                          <a:off x="0" y="0"/>
                          <a:ext cx="484787" cy="22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62E1" w:rsidRPr="00AC3C08" w:rsidRDefault="00B962E1">
                            <w:pPr>
                              <w:rPr>
                                <w:sz w:val="20"/>
                                <w:szCs w:val="20"/>
                              </w:rPr>
                            </w:pPr>
                            <w:r w:rsidRPr="00AC3C08">
                              <w:rPr>
                                <w:sz w:val="20"/>
                                <w:szCs w:val="20"/>
                              </w:rPr>
                              <w:t>Brazil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5" o:spid="_x0000_s1028" type="#_x0000_t202" style="position:absolute;margin-left:41.8pt;margin-top:6.1pt;width:38.1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" fillcolor="white [3201]" stroked="f" strokeweight=".5pt">
                <v:textbox>
                  <w:txbxContent>
                    <w:p w:rsidR="00B962E1" w:rsidRPr="00AC3C08" w:rsidRDefault="00B962E1">
                      <w:pPr>
                        <w:rPr>
                          <w:sz w:val="20"/>
                          <w:szCs w:val="20"/>
                        </w:rPr>
                      </w:pPr>
                      <w:r w:rsidRPr="00AC3C08">
                        <w:rPr>
                          <w:sz w:val="20"/>
                          <w:szCs w:val="20"/>
                        </w:rPr>
                        <w:t>Brazil</w:t>
                      </w: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438205</wp:posOffset>
                </wp:positionH>
                <wp:positionV relativeFrom="paragraph">
                  <wp:posOffset>488950</wp:posOffset>
                </wp:positionV>
                <wp:extent cx="39624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962400" cy="1905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3F3299A" id="Straight Connector 1"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4.5pt,38.5pt" to="346.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" strokecolor="black [3200]" strokeweight=".5pt">
                <v:stroke dashstyle="3 1" joinstyle="miter"/>
              </v:line>
            </w:pict>
          </mc:Fallback>
        </mc:AlternateContent>
      </w:r>
      <w:r w:rsidR="00FB5203">
        <w:rPr>
          <w:noProof/>
          <w:lang w:val="en-US"/>
        </w:rPr>
        <w:drawing>
          <wp:inline distT="0" distB="0" distL="0" distR="0" wp14:anchorId="3CA0C82B" wp14:editId="7F2BF794">
            <wp:extent cx="4552950" cy="25908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1373" w:rsidRPr="00892DD6" w:rsidRDefault="00E41373" w:rsidP="00E41373">
      <w:pPr>
        <w:spacing w:after="0"/>
        <w:rPr>
          <w:rFonts w:eastAsia="Calibri" w:cs="Times New Roman"/>
          <w:sz w:val="18"/>
          <w:szCs w:val="18"/>
        </w:rPr>
      </w:pPr>
      <w:r w:rsidRPr="008D3987">
        <w:rPr>
          <w:rFonts w:eastAsia="Calibri" w:cs="Times New Roman"/>
          <w:sz w:val="18"/>
          <w:szCs w:val="18"/>
        </w:rPr>
        <w:t xml:space="preserve">Source: </w:t>
      </w:r>
      <w:r w:rsidRPr="00892DD6">
        <w:rPr>
          <w:rFonts w:eastAsia="Calibri" w:cs="Times New Roman"/>
          <w:sz w:val="18"/>
          <w:szCs w:val="18"/>
        </w:rPr>
        <w:t xml:space="preserve">IHME (2015). </w:t>
      </w:r>
    </w:p>
    <w:p w:rsidR="00E41373" w:rsidRDefault="00E41373"/>
    <w:p w:rsidR="00AB6AA9" w:rsidRDefault="00AB6AA9" w:rsidP="00AB6AA9">
      <w:pPr>
        <w:rPr>
          <w:lang w:eastAsia="en-AU"/>
        </w:rPr>
      </w:pPr>
      <w:r>
        <w:rPr>
          <w:lang w:eastAsia="en-AU"/>
        </w:rPr>
        <w:t>However</w:t>
      </w:r>
      <w:r w:rsidR="00411E9D">
        <w:rPr>
          <w:lang w:eastAsia="en-AU"/>
        </w:rPr>
        <w:t>,</w:t>
      </w:r>
      <w:r>
        <w:rPr>
          <w:lang w:eastAsia="en-AU"/>
        </w:rPr>
        <w:t xml:space="preserve"> Brazil has the highest burden (150 YLDs) from NCDs of the comparator countries. The other Latin American countries are lower. Colombia is the next highest with 145, followed by Peru</w:t>
      </w:r>
      <w:r w:rsidR="00411E9D">
        <w:rPr>
          <w:lang w:eastAsia="en-AU"/>
        </w:rPr>
        <w:t>,</w:t>
      </w:r>
      <w:r>
        <w:rPr>
          <w:lang w:eastAsia="en-AU"/>
        </w:rPr>
        <w:t xml:space="preserve"> 142 and Mexico, 125. The high level for Brazil arises from relatively high YLDs for a range of diseases and conditions, including cardio vascular disease, mental illness, muscular skeletal and neurological conditions. The disease burden f</w:t>
      </w:r>
      <w:r w:rsidR="00411E9D">
        <w:rPr>
          <w:lang w:eastAsia="en-AU"/>
        </w:rPr>
        <w:t>ro</w:t>
      </w:r>
      <w:r>
        <w:rPr>
          <w:lang w:eastAsia="en-AU"/>
        </w:rPr>
        <w:t xml:space="preserve">m </w:t>
      </w:r>
      <w:r w:rsidRPr="00ED38D7">
        <w:rPr>
          <w:lang w:eastAsia="en-AU"/>
        </w:rPr>
        <w:t>Ischaemic heart disease</w:t>
      </w:r>
      <w:r>
        <w:rPr>
          <w:lang w:eastAsia="en-AU"/>
        </w:rPr>
        <w:t xml:space="preserve"> (stroke) is the highest of the comparator countries. This may be a result of the relatively high systolic blood pressure levels recorded for Brazil as noted in Sweeny et al</w:t>
      </w:r>
      <w:r w:rsidR="004B6E2C">
        <w:rPr>
          <w:lang w:eastAsia="en-AU"/>
        </w:rPr>
        <w:t>.</w:t>
      </w:r>
      <w:r>
        <w:rPr>
          <w:lang w:eastAsia="en-AU"/>
        </w:rPr>
        <w:t xml:space="preserve"> (2014).</w:t>
      </w:r>
    </w:p>
    <w:p w:rsidR="00AB4FFA" w:rsidRDefault="00AB4FFA" w:rsidP="00AB4FFA">
      <w:pPr>
        <w:pStyle w:val="Heading2"/>
      </w:pPr>
      <w:bookmarkStart w:id="10" w:name="_Toc432083907"/>
      <w:r w:rsidRPr="00FC2A6F">
        <w:t>Estimating the Worker Attendance Costs of NCDs</w:t>
      </w:r>
      <w:bookmarkEnd w:id="10"/>
    </w:p>
    <w:p w:rsidR="00AB4FFA" w:rsidRPr="00AE7078" w:rsidRDefault="00AB4FFA" w:rsidP="00AB4FFA">
      <w:pPr>
        <w:pStyle w:val="Heading3"/>
      </w:pPr>
      <w:bookmarkStart w:id="11" w:name="_Toc432083908"/>
      <w:r>
        <w:t>Modelling methodology</w:t>
      </w:r>
      <w:bookmarkEnd w:id="11"/>
    </w:p>
    <w:p w:rsidR="00ED38D7" w:rsidRDefault="005C250A" w:rsidP="00AB4FFA">
      <w:pPr>
        <w:rPr>
          <w:rFonts w:eastAsia="Calibri" w:cs="Times New Roman"/>
          <w:noProof/>
          <w:szCs w:val="22"/>
          <w:lang w:eastAsia="en-AU"/>
        </w:rPr>
      </w:pPr>
      <w:r>
        <w:rPr>
          <w:rFonts w:eastAsia="Calibri" w:cs="Times New Roman"/>
          <w:szCs w:val="22"/>
          <w:lang w:eastAsia="en-AU"/>
        </w:rPr>
        <w:t xml:space="preserve">The modelling methodology is based on estimating the reduction in productive capacity due to the impact of </w:t>
      </w:r>
      <w:r w:rsidR="008A1DDB">
        <w:rPr>
          <w:rFonts w:eastAsia="Calibri" w:cs="Times New Roman"/>
          <w:noProof/>
          <w:szCs w:val="22"/>
          <w:lang w:eastAsia="en-AU"/>
        </w:rPr>
        <w:t>ill health</w:t>
      </w:r>
      <w:r w:rsidR="008A1DDB">
        <w:rPr>
          <w:rFonts w:eastAsia="Calibri" w:cs="Times New Roman"/>
          <w:szCs w:val="22"/>
          <w:lang w:eastAsia="en-AU"/>
        </w:rPr>
        <w:t xml:space="preserve"> on the </w:t>
      </w:r>
      <w:r>
        <w:rPr>
          <w:rFonts w:eastAsia="Calibri" w:cs="Times New Roman"/>
          <w:noProof/>
          <w:szCs w:val="22"/>
          <w:lang w:eastAsia="en-AU"/>
        </w:rPr>
        <w:t>workforce as a result of</w:t>
      </w:r>
      <w:r w:rsidR="00ED38D7">
        <w:rPr>
          <w:rFonts w:eastAsia="Calibri" w:cs="Times New Roman"/>
          <w:noProof/>
          <w:szCs w:val="22"/>
          <w:lang w:eastAsia="en-AU"/>
        </w:rPr>
        <w:t xml:space="preserve"> asenteeism, presenteeism and early retirement. </w:t>
      </w:r>
    </w:p>
    <w:p w:rsidR="00AB4FFA" w:rsidRPr="007730DE" w:rsidRDefault="00AB4FFA" w:rsidP="00AB4FFA">
      <w:pPr>
        <w:rPr>
          <w:rFonts w:eastAsia="Calibri" w:cs="Times New Roman"/>
          <w:noProof/>
          <w:szCs w:val="22"/>
          <w:lang w:eastAsia="en-AU"/>
        </w:rPr>
      </w:pPr>
      <w:r>
        <w:rPr>
          <w:noProof/>
          <w:lang w:eastAsia="en-AU"/>
        </w:rPr>
        <w:t xml:space="preserve">The modelling of the impact of NCDs is undertaken for 13 non-communicable diseases listed in Table </w:t>
      </w:r>
      <w:r w:rsidR="00314BBD">
        <w:rPr>
          <w:noProof/>
          <w:lang w:eastAsia="en-AU"/>
        </w:rPr>
        <w:t>1</w:t>
      </w:r>
      <w:r>
        <w:rPr>
          <w:noProof/>
          <w:lang w:eastAsia="en-AU"/>
        </w:rPr>
        <w:t xml:space="preserve"> that were identified as most relevant to reductions in labour force participation and productivity using the disease descriptions from the 2010 Global Burden of Disease study (Murray et al. 2012).</w:t>
      </w:r>
      <w:r w:rsidRPr="00D24240">
        <w:rPr>
          <w:rFonts w:eastAsia="Calibri" w:cs="Times New Roman"/>
          <w:noProof/>
          <w:szCs w:val="22"/>
          <w:lang w:eastAsia="en-AU"/>
        </w:rPr>
        <w:t xml:space="preserve"> </w:t>
      </w:r>
      <w:r w:rsidR="00ED38D7">
        <w:rPr>
          <w:rFonts w:eastAsia="Calibri" w:cs="Times New Roman"/>
          <w:noProof/>
          <w:szCs w:val="22"/>
          <w:lang w:eastAsia="en-AU"/>
        </w:rPr>
        <w:t xml:space="preserve">The disabilty weight indicates the severity of </w:t>
      </w:r>
      <w:r w:rsidR="00DD0298">
        <w:rPr>
          <w:rFonts w:eastAsia="Calibri" w:cs="Times New Roman"/>
          <w:noProof/>
          <w:szCs w:val="22"/>
          <w:lang w:eastAsia="en-AU"/>
        </w:rPr>
        <w:t>each disease.</w:t>
      </w:r>
    </w:p>
    <w:p w:rsidR="00AB4FFA" w:rsidRPr="007730DE" w:rsidRDefault="00AB4FFA" w:rsidP="00AB4FFA">
      <w:pPr>
        <w:pStyle w:val="Tableheading"/>
      </w:pPr>
      <w:bookmarkStart w:id="12" w:name="_Toc432086639"/>
      <w:r w:rsidRPr="00913922">
        <w:t xml:space="preserve">Table </w:t>
      </w:r>
      <w:r w:rsidR="00314BBD">
        <w:t>1</w:t>
      </w:r>
      <w:r w:rsidRPr="00913922">
        <w:t xml:space="preserve"> Disability weights and absenteeism and presenteeism assumptions, twelve countries</w:t>
      </w:r>
      <w:bookmarkEnd w:id="12"/>
    </w:p>
    <w:tbl>
      <w:tblPr>
        <w:tblStyle w:val="LightList-Accent14"/>
        <w:tblW w:w="9180" w:type="dxa"/>
        <w:tblBorders>
          <w:top w:val="none" w:sz="0" w:space="0" w:color="auto"/>
          <w:left w:val="none" w:sz="0" w:space="0" w:color="auto"/>
          <w:bottom w:val="none" w:sz="0" w:space="0" w:color="auto"/>
          <w:right w:val="none" w:sz="0" w:space="0" w:color="auto"/>
        </w:tblBorders>
        <w:tblLook w:val="0420" w:firstRow="1" w:lastRow="0" w:firstColumn="0" w:lastColumn="0" w:noHBand="0" w:noVBand="1"/>
      </w:tblPr>
      <w:tblGrid>
        <w:gridCol w:w="3740"/>
        <w:gridCol w:w="1125"/>
        <w:gridCol w:w="2189"/>
        <w:gridCol w:w="2126"/>
      </w:tblGrid>
      <w:tr w:rsidR="00AB4FFA" w:rsidRPr="00497752" w:rsidTr="001071FB">
        <w:trPr>
          <w:cnfStyle w:val="100000000000" w:firstRow="1" w:lastRow="0" w:firstColumn="0" w:lastColumn="0" w:oddVBand="0" w:evenVBand="0" w:oddHBand="0" w:evenHBand="0" w:firstRowFirstColumn="0" w:firstRowLastColumn="0" w:lastRowFirstColumn="0" w:lastRowLastColumn="0"/>
          <w:trHeight w:val="288"/>
        </w:trPr>
        <w:tc>
          <w:tcPr>
            <w:tcW w:w="3740" w:type="dxa"/>
          </w:tcPr>
          <w:p w:rsidR="00AB4FFA" w:rsidRPr="004169A7" w:rsidRDefault="00AB4FFA" w:rsidP="00AB4FFA">
            <w:pPr>
              <w:spacing w:after="0"/>
              <w:rPr>
                <w:rFonts w:asciiTheme="majorHAnsi" w:hAnsiTheme="majorHAnsi" w:cstheme="majorHAnsi"/>
                <w:color w:val="000000"/>
                <w:sz w:val="18"/>
                <w:szCs w:val="18"/>
              </w:rPr>
            </w:pPr>
            <w:r w:rsidRPr="004169A7">
              <w:rPr>
                <w:rFonts w:asciiTheme="majorHAnsi" w:hAnsiTheme="majorHAnsi" w:cstheme="majorHAnsi"/>
                <w:sz w:val="18"/>
                <w:szCs w:val="18"/>
              </w:rPr>
              <w:t>Disease</w:t>
            </w:r>
          </w:p>
        </w:tc>
        <w:tc>
          <w:tcPr>
            <w:tcW w:w="1125" w:type="dxa"/>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Disability weight</w:t>
            </w:r>
          </w:p>
        </w:tc>
        <w:tc>
          <w:tcPr>
            <w:tcW w:w="2189" w:type="dxa"/>
          </w:tcPr>
          <w:p w:rsidR="00AB4FFA" w:rsidRPr="004169A7" w:rsidRDefault="00AB4FFA" w:rsidP="001071FB">
            <w:pPr>
              <w:spacing w:after="0"/>
              <w:jc w:val="center"/>
              <w:rPr>
                <w:rFonts w:asciiTheme="majorHAnsi" w:hAnsiTheme="majorHAnsi" w:cstheme="majorHAnsi"/>
                <w:sz w:val="18"/>
                <w:szCs w:val="18"/>
              </w:rPr>
            </w:pPr>
            <w:r w:rsidRPr="004169A7">
              <w:rPr>
                <w:rFonts w:asciiTheme="majorHAnsi" w:hAnsiTheme="majorHAnsi" w:cstheme="majorHAnsi"/>
                <w:sz w:val="18"/>
                <w:szCs w:val="18"/>
              </w:rPr>
              <w:t>Per</w:t>
            </w:r>
            <w:r w:rsidR="006D4283">
              <w:rPr>
                <w:rFonts w:asciiTheme="majorHAnsi" w:hAnsiTheme="majorHAnsi" w:cstheme="majorHAnsi"/>
                <w:sz w:val="18"/>
                <w:szCs w:val="18"/>
              </w:rPr>
              <w:t xml:space="preserve"> </w:t>
            </w:r>
            <w:r w:rsidRPr="004169A7">
              <w:rPr>
                <w:rFonts w:asciiTheme="majorHAnsi" w:hAnsiTheme="majorHAnsi" w:cstheme="majorHAnsi"/>
                <w:sz w:val="18"/>
                <w:szCs w:val="18"/>
              </w:rPr>
              <w:t>cent productivity loss due to absenteeism</w:t>
            </w:r>
            <w:r>
              <w:rPr>
                <w:rFonts w:asciiTheme="majorHAnsi" w:hAnsiTheme="majorHAnsi" w:cstheme="majorHAnsi"/>
                <w:sz w:val="18"/>
                <w:szCs w:val="18"/>
              </w:rPr>
              <w:br/>
            </w:r>
            <w:r w:rsidRPr="004169A7">
              <w:rPr>
                <w:rFonts w:asciiTheme="majorHAnsi" w:hAnsiTheme="majorHAnsi" w:cstheme="majorHAnsi"/>
                <w:sz w:val="18"/>
                <w:szCs w:val="18"/>
              </w:rPr>
              <w:t xml:space="preserve"> per employee per year</w:t>
            </w:r>
          </w:p>
        </w:tc>
        <w:tc>
          <w:tcPr>
            <w:tcW w:w="2126" w:type="dxa"/>
            <w:noWrap/>
            <w:hideMark/>
          </w:tcPr>
          <w:p w:rsidR="00AB4FFA" w:rsidRPr="004169A7" w:rsidRDefault="00AB4FFA" w:rsidP="001071FB">
            <w:pPr>
              <w:spacing w:after="0"/>
              <w:jc w:val="center"/>
              <w:rPr>
                <w:rFonts w:asciiTheme="majorHAnsi" w:hAnsiTheme="majorHAnsi" w:cstheme="majorHAnsi"/>
                <w:sz w:val="18"/>
                <w:szCs w:val="18"/>
              </w:rPr>
            </w:pPr>
            <w:r w:rsidRPr="004169A7">
              <w:rPr>
                <w:rFonts w:asciiTheme="majorHAnsi" w:hAnsiTheme="majorHAnsi" w:cstheme="majorHAnsi"/>
                <w:sz w:val="18"/>
                <w:szCs w:val="18"/>
              </w:rPr>
              <w:t>Per</w:t>
            </w:r>
            <w:r w:rsidR="006D4283">
              <w:rPr>
                <w:rFonts w:asciiTheme="majorHAnsi" w:hAnsiTheme="majorHAnsi" w:cstheme="majorHAnsi"/>
                <w:sz w:val="18"/>
                <w:szCs w:val="18"/>
              </w:rPr>
              <w:t xml:space="preserve"> </w:t>
            </w:r>
            <w:r w:rsidRPr="004169A7">
              <w:rPr>
                <w:rFonts w:asciiTheme="majorHAnsi" w:hAnsiTheme="majorHAnsi" w:cstheme="majorHAnsi"/>
                <w:sz w:val="18"/>
                <w:szCs w:val="18"/>
              </w:rPr>
              <w:t>cent productivity loss due to presenteeism per employee per year</w:t>
            </w:r>
          </w:p>
        </w:tc>
      </w:tr>
      <w:tr w:rsidR="00AB4FFA" w:rsidRPr="00497752" w:rsidTr="001071FB">
        <w:trPr>
          <w:cnfStyle w:val="000000100000" w:firstRow="0" w:lastRow="0" w:firstColumn="0" w:lastColumn="0" w:oddVBand="0" w:evenVBand="0" w:oddHBand="1" w:evenHBand="0" w:firstRowFirstColumn="0" w:firstRowLastColumn="0" w:lastRowFirstColumn="0" w:lastRowLastColumn="0"/>
          <w:trHeight w:val="288"/>
        </w:trPr>
        <w:tc>
          <w:tcPr>
            <w:tcW w:w="3740" w:type="dxa"/>
            <w:tcBorders>
              <w:top w:val="none" w:sz="0" w:space="0" w:color="auto"/>
              <w:left w:val="none" w:sz="0" w:space="0" w:color="auto"/>
              <w:bottom w:val="none" w:sz="0" w:space="0" w:color="auto"/>
            </w:tcBorders>
          </w:tcPr>
          <w:p w:rsidR="00AB4FFA" w:rsidRPr="00306EE1" w:rsidRDefault="00AB4FFA" w:rsidP="002D6EA2">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Ischemic heart disease</w:t>
            </w:r>
          </w:p>
        </w:tc>
        <w:tc>
          <w:tcPr>
            <w:tcW w:w="1125" w:type="dxa"/>
            <w:tcBorders>
              <w:top w:val="none" w:sz="0" w:space="0" w:color="auto"/>
              <w:bottom w:val="none" w:sz="0" w:space="0" w:color="auto"/>
            </w:tcBorders>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0.13013</w:t>
            </w:r>
          </w:p>
        </w:tc>
        <w:tc>
          <w:tcPr>
            <w:tcW w:w="2189" w:type="dxa"/>
            <w:tcBorders>
              <w:top w:val="none" w:sz="0" w:space="0" w:color="auto"/>
              <w:bottom w:val="none" w:sz="0" w:space="0" w:color="auto"/>
            </w:tcBorders>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2.8</w:t>
            </w:r>
          </w:p>
        </w:tc>
        <w:tc>
          <w:tcPr>
            <w:tcW w:w="2126" w:type="dxa"/>
            <w:tcBorders>
              <w:top w:val="none" w:sz="0" w:space="0" w:color="auto"/>
              <w:bottom w:val="none" w:sz="0" w:space="0" w:color="auto"/>
              <w:right w:val="none" w:sz="0" w:space="0" w:color="auto"/>
            </w:tcBorders>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6.8</w:t>
            </w:r>
          </w:p>
        </w:tc>
      </w:tr>
      <w:tr w:rsidR="00AB4FFA" w:rsidRPr="00497752" w:rsidTr="001071FB">
        <w:trPr>
          <w:trHeight w:val="288"/>
        </w:trPr>
        <w:tc>
          <w:tcPr>
            <w:tcW w:w="3740" w:type="dxa"/>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Ischemic stroke</w:t>
            </w:r>
          </w:p>
        </w:tc>
        <w:tc>
          <w:tcPr>
            <w:tcW w:w="1125" w:type="dxa"/>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0.30300</w:t>
            </w:r>
          </w:p>
        </w:tc>
        <w:tc>
          <w:tcPr>
            <w:tcW w:w="2189" w:type="dxa"/>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2.8</w:t>
            </w:r>
          </w:p>
        </w:tc>
        <w:tc>
          <w:tcPr>
            <w:tcW w:w="2126" w:type="dxa"/>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6.8</w:t>
            </w:r>
          </w:p>
        </w:tc>
      </w:tr>
      <w:tr w:rsidR="00AB4FFA" w:rsidRPr="00497752" w:rsidTr="001071FB">
        <w:trPr>
          <w:cnfStyle w:val="000000100000" w:firstRow="0" w:lastRow="0" w:firstColumn="0" w:lastColumn="0" w:oddVBand="0" w:evenVBand="0" w:oddHBand="1" w:evenHBand="0" w:firstRowFirstColumn="0" w:firstRowLastColumn="0" w:lastRowFirstColumn="0" w:lastRowLastColumn="0"/>
          <w:trHeight w:val="288"/>
        </w:trPr>
        <w:tc>
          <w:tcPr>
            <w:tcW w:w="3740" w:type="dxa"/>
            <w:tcBorders>
              <w:top w:val="none" w:sz="0" w:space="0" w:color="auto"/>
              <w:left w:val="none" w:sz="0" w:space="0" w:color="auto"/>
              <w:bottom w:val="none" w:sz="0" w:space="0" w:color="auto"/>
            </w:tcBorders>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Hemorrhagic and other non-ischemic stroke</w:t>
            </w:r>
          </w:p>
        </w:tc>
        <w:tc>
          <w:tcPr>
            <w:tcW w:w="1125" w:type="dxa"/>
            <w:tcBorders>
              <w:top w:val="none" w:sz="0" w:space="0" w:color="auto"/>
              <w:bottom w:val="none" w:sz="0" w:space="0" w:color="auto"/>
            </w:tcBorders>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0.30300</w:t>
            </w:r>
          </w:p>
        </w:tc>
        <w:tc>
          <w:tcPr>
            <w:tcW w:w="2189" w:type="dxa"/>
            <w:tcBorders>
              <w:top w:val="none" w:sz="0" w:space="0" w:color="auto"/>
              <w:bottom w:val="none" w:sz="0" w:space="0" w:color="auto"/>
            </w:tcBorders>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2.8</w:t>
            </w:r>
          </w:p>
        </w:tc>
        <w:tc>
          <w:tcPr>
            <w:tcW w:w="2126" w:type="dxa"/>
            <w:tcBorders>
              <w:top w:val="none" w:sz="0" w:space="0" w:color="auto"/>
              <w:bottom w:val="none" w:sz="0" w:space="0" w:color="auto"/>
              <w:right w:val="none" w:sz="0" w:space="0" w:color="auto"/>
            </w:tcBorders>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6.8</w:t>
            </w:r>
          </w:p>
        </w:tc>
      </w:tr>
      <w:tr w:rsidR="00AB4FFA" w:rsidRPr="00497752" w:rsidTr="001071FB">
        <w:trPr>
          <w:trHeight w:val="288"/>
        </w:trPr>
        <w:tc>
          <w:tcPr>
            <w:tcW w:w="3740" w:type="dxa"/>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Diabetes mellitus</w:t>
            </w:r>
          </w:p>
        </w:tc>
        <w:tc>
          <w:tcPr>
            <w:tcW w:w="1125" w:type="dxa"/>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0.09463</w:t>
            </w:r>
          </w:p>
        </w:tc>
        <w:tc>
          <w:tcPr>
            <w:tcW w:w="2189" w:type="dxa"/>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0.8</w:t>
            </w:r>
          </w:p>
        </w:tc>
        <w:tc>
          <w:tcPr>
            <w:tcW w:w="2126" w:type="dxa"/>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11.4</w:t>
            </w:r>
          </w:p>
        </w:tc>
      </w:tr>
      <w:tr w:rsidR="00AB4FFA" w:rsidRPr="00497752" w:rsidTr="001071FB">
        <w:trPr>
          <w:cnfStyle w:val="000000100000" w:firstRow="0" w:lastRow="0" w:firstColumn="0" w:lastColumn="0" w:oddVBand="0" w:evenVBand="0" w:oddHBand="1" w:evenHBand="0" w:firstRowFirstColumn="0" w:firstRowLastColumn="0" w:lastRowFirstColumn="0" w:lastRowLastColumn="0"/>
          <w:trHeight w:val="288"/>
        </w:trPr>
        <w:tc>
          <w:tcPr>
            <w:tcW w:w="3740" w:type="dxa"/>
            <w:tcBorders>
              <w:top w:val="none" w:sz="0" w:space="0" w:color="auto"/>
              <w:left w:val="none" w:sz="0" w:space="0" w:color="auto"/>
              <w:bottom w:val="none" w:sz="0" w:space="0" w:color="auto"/>
            </w:tcBorders>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Chronic obstructive pulmonary disease</w:t>
            </w:r>
          </w:p>
        </w:tc>
        <w:tc>
          <w:tcPr>
            <w:tcW w:w="1125" w:type="dxa"/>
            <w:tcBorders>
              <w:top w:val="none" w:sz="0" w:space="0" w:color="auto"/>
              <w:bottom w:val="none" w:sz="0" w:space="0" w:color="auto"/>
            </w:tcBorders>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0.19667</w:t>
            </w:r>
          </w:p>
        </w:tc>
        <w:tc>
          <w:tcPr>
            <w:tcW w:w="2189" w:type="dxa"/>
            <w:tcBorders>
              <w:top w:val="none" w:sz="0" w:space="0" w:color="auto"/>
              <w:bottom w:val="none" w:sz="0" w:space="0" w:color="auto"/>
            </w:tcBorders>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6.1</w:t>
            </w:r>
          </w:p>
        </w:tc>
        <w:tc>
          <w:tcPr>
            <w:tcW w:w="2126" w:type="dxa"/>
            <w:tcBorders>
              <w:top w:val="none" w:sz="0" w:space="0" w:color="auto"/>
              <w:bottom w:val="none" w:sz="0" w:space="0" w:color="auto"/>
              <w:right w:val="none" w:sz="0" w:space="0" w:color="auto"/>
            </w:tcBorders>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17.2</w:t>
            </w:r>
          </w:p>
        </w:tc>
      </w:tr>
      <w:tr w:rsidR="00AB4FFA" w:rsidRPr="00497752" w:rsidTr="001071FB">
        <w:trPr>
          <w:trHeight w:val="288"/>
        </w:trPr>
        <w:tc>
          <w:tcPr>
            <w:tcW w:w="3740" w:type="dxa"/>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Asthma</w:t>
            </w:r>
          </w:p>
        </w:tc>
        <w:tc>
          <w:tcPr>
            <w:tcW w:w="1125" w:type="dxa"/>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0.05600</w:t>
            </w:r>
          </w:p>
        </w:tc>
        <w:tc>
          <w:tcPr>
            <w:tcW w:w="2189" w:type="dxa"/>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5.0</w:t>
            </w:r>
          </w:p>
        </w:tc>
        <w:tc>
          <w:tcPr>
            <w:tcW w:w="2126" w:type="dxa"/>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11.0</w:t>
            </w:r>
          </w:p>
        </w:tc>
      </w:tr>
      <w:tr w:rsidR="00AB4FFA" w:rsidRPr="00497752" w:rsidTr="001071FB">
        <w:trPr>
          <w:cnfStyle w:val="000000100000" w:firstRow="0" w:lastRow="0" w:firstColumn="0" w:lastColumn="0" w:oddVBand="0" w:evenVBand="0" w:oddHBand="1" w:evenHBand="0" w:firstRowFirstColumn="0" w:firstRowLastColumn="0" w:lastRowFirstColumn="0" w:lastRowLastColumn="0"/>
          <w:trHeight w:val="288"/>
        </w:trPr>
        <w:tc>
          <w:tcPr>
            <w:tcW w:w="3740" w:type="dxa"/>
            <w:tcBorders>
              <w:top w:val="none" w:sz="0" w:space="0" w:color="auto"/>
              <w:left w:val="none" w:sz="0" w:space="0" w:color="auto"/>
              <w:bottom w:val="none" w:sz="0" w:space="0" w:color="auto"/>
            </w:tcBorders>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Migraine</w:t>
            </w:r>
          </w:p>
        </w:tc>
        <w:tc>
          <w:tcPr>
            <w:tcW w:w="1125" w:type="dxa"/>
            <w:tcBorders>
              <w:top w:val="none" w:sz="0" w:space="0" w:color="auto"/>
              <w:bottom w:val="none" w:sz="0" w:space="0" w:color="auto"/>
            </w:tcBorders>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0.43300</w:t>
            </w:r>
          </w:p>
        </w:tc>
        <w:tc>
          <w:tcPr>
            <w:tcW w:w="2189" w:type="dxa"/>
            <w:tcBorders>
              <w:top w:val="none" w:sz="0" w:space="0" w:color="auto"/>
              <w:bottom w:val="none" w:sz="0" w:space="0" w:color="auto"/>
            </w:tcBorders>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4.5</w:t>
            </w:r>
          </w:p>
        </w:tc>
        <w:tc>
          <w:tcPr>
            <w:tcW w:w="2126" w:type="dxa"/>
            <w:tcBorders>
              <w:top w:val="none" w:sz="0" w:space="0" w:color="auto"/>
              <w:bottom w:val="none" w:sz="0" w:space="0" w:color="auto"/>
              <w:right w:val="none" w:sz="0" w:space="0" w:color="auto"/>
            </w:tcBorders>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20.5</w:t>
            </w:r>
          </w:p>
        </w:tc>
      </w:tr>
      <w:tr w:rsidR="00AB4FFA" w:rsidRPr="00497752" w:rsidTr="001071FB">
        <w:trPr>
          <w:trHeight w:val="288"/>
        </w:trPr>
        <w:tc>
          <w:tcPr>
            <w:tcW w:w="3740" w:type="dxa"/>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Tension-type headache</w:t>
            </w:r>
          </w:p>
        </w:tc>
        <w:tc>
          <w:tcPr>
            <w:tcW w:w="1125" w:type="dxa"/>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0.04000</w:t>
            </w:r>
          </w:p>
        </w:tc>
        <w:tc>
          <w:tcPr>
            <w:tcW w:w="2189" w:type="dxa"/>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4.5</w:t>
            </w:r>
          </w:p>
        </w:tc>
        <w:tc>
          <w:tcPr>
            <w:tcW w:w="2126" w:type="dxa"/>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20.5</w:t>
            </w:r>
          </w:p>
        </w:tc>
      </w:tr>
      <w:tr w:rsidR="00AB4FFA" w:rsidRPr="00497752" w:rsidTr="001071FB">
        <w:trPr>
          <w:cnfStyle w:val="000000100000" w:firstRow="0" w:lastRow="0" w:firstColumn="0" w:lastColumn="0" w:oddVBand="0" w:evenVBand="0" w:oddHBand="1" w:evenHBand="0" w:firstRowFirstColumn="0" w:firstRowLastColumn="0" w:lastRowFirstColumn="0" w:lastRowLastColumn="0"/>
          <w:trHeight w:val="288"/>
        </w:trPr>
        <w:tc>
          <w:tcPr>
            <w:tcW w:w="3740" w:type="dxa"/>
            <w:tcBorders>
              <w:top w:val="none" w:sz="0" w:space="0" w:color="auto"/>
              <w:left w:val="none" w:sz="0" w:space="0" w:color="auto"/>
              <w:bottom w:val="none" w:sz="0" w:space="0" w:color="auto"/>
            </w:tcBorders>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Major depressive disorder</w:t>
            </w:r>
          </w:p>
        </w:tc>
        <w:tc>
          <w:tcPr>
            <w:tcW w:w="1125" w:type="dxa"/>
            <w:tcBorders>
              <w:top w:val="none" w:sz="0" w:space="0" w:color="auto"/>
              <w:bottom w:val="none" w:sz="0" w:space="0" w:color="auto"/>
            </w:tcBorders>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0.23000</w:t>
            </w:r>
          </w:p>
        </w:tc>
        <w:tc>
          <w:tcPr>
            <w:tcW w:w="2189" w:type="dxa"/>
            <w:tcBorders>
              <w:top w:val="none" w:sz="0" w:space="0" w:color="auto"/>
              <w:bottom w:val="none" w:sz="0" w:space="0" w:color="auto"/>
            </w:tcBorders>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10.7</w:t>
            </w:r>
          </w:p>
        </w:tc>
        <w:tc>
          <w:tcPr>
            <w:tcW w:w="2126" w:type="dxa"/>
            <w:tcBorders>
              <w:top w:val="none" w:sz="0" w:space="0" w:color="auto"/>
              <w:bottom w:val="none" w:sz="0" w:space="0" w:color="auto"/>
              <w:right w:val="none" w:sz="0" w:space="0" w:color="auto"/>
            </w:tcBorders>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15.3</w:t>
            </w:r>
          </w:p>
        </w:tc>
      </w:tr>
      <w:tr w:rsidR="00AB4FFA" w:rsidRPr="00497752" w:rsidTr="001071FB">
        <w:trPr>
          <w:trHeight w:val="288"/>
        </w:trPr>
        <w:tc>
          <w:tcPr>
            <w:tcW w:w="3740" w:type="dxa"/>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Dysthymia</w:t>
            </w:r>
          </w:p>
        </w:tc>
        <w:tc>
          <w:tcPr>
            <w:tcW w:w="1125" w:type="dxa"/>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0.11000</w:t>
            </w:r>
          </w:p>
        </w:tc>
        <w:tc>
          <w:tcPr>
            <w:tcW w:w="2189" w:type="dxa"/>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10.7</w:t>
            </w:r>
          </w:p>
        </w:tc>
        <w:tc>
          <w:tcPr>
            <w:tcW w:w="2126" w:type="dxa"/>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15.3</w:t>
            </w:r>
          </w:p>
        </w:tc>
      </w:tr>
      <w:tr w:rsidR="00AB4FFA" w:rsidRPr="00497752" w:rsidTr="001071FB">
        <w:trPr>
          <w:cnfStyle w:val="000000100000" w:firstRow="0" w:lastRow="0" w:firstColumn="0" w:lastColumn="0" w:oddVBand="0" w:evenVBand="0" w:oddHBand="1" w:evenHBand="0" w:firstRowFirstColumn="0" w:firstRowLastColumn="0" w:lastRowFirstColumn="0" w:lastRowLastColumn="0"/>
          <w:trHeight w:val="288"/>
        </w:trPr>
        <w:tc>
          <w:tcPr>
            <w:tcW w:w="3740" w:type="dxa"/>
            <w:tcBorders>
              <w:top w:val="none" w:sz="0" w:space="0" w:color="auto"/>
              <w:left w:val="none" w:sz="0" w:space="0" w:color="auto"/>
              <w:bottom w:val="none" w:sz="0" w:space="0" w:color="auto"/>
            </w:tcBorders>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Osteoarthritis</w:t>
            </w:r>
          </w:p>
        </w:tc>
        <w:tc>
          <w:tcPr>
            <w:tcW w:w="1125" w:type="dxa"/>
            <w:tcBorders>
              <w:top w:val="none" w:sz="0" w:space="0" w:color="auto"/>
              <w:bottom w:val="none" w:sz="0" w:space="0" w:color="auto"/>
            </w:tcBorders>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0.09100</w:t>
            </w:r>
          </w:p>
        </w:tc>
        <w:tc>
          <w:tcPr>
            <w:tcW w:w="2189" w:type="dxa"/>
            <w:tcBorders>
              <w:top w:val="none" w:sz="0" w:space="0" w:color="auto"/>
              <w:bottom w:val="none" w:sz="0" w:space="0" w:color="auto"/>
            </w:tcBorders>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2.5</w:t>
            </w:r>
          </w:p>
        </w:tc>
        <w:tc>
          <w:tcPr>
            <w:tcW w:w="2126" w:type="dxa"/>
            <w:tcBorders>
              <w:top w:val="none" w:sz="0" w:space="0" w:color="auto"/>
              <w:bottom w:val="none" w:sz="0" w:space="0" w:color="auto"/>
              <w:right w:val="none" w:sz="0" w:space="0" w:color="auto"/>
            </w:tcBorders>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11.2</w:t>
            </w:r>
          </w:p>
        </w:tc>
      </w:tr>
      <w:tr w:rsidR="00AB4FFA" w:rsidRPr="00497752" w:rsidTr="001071FB">
        <w:trPr>
          <w:trHeight w:val="288"/>
        </w:trPr>
        <w:tc>
          <w:tcPr>
            <w:tcW w:w="3740" w:type="dxa"/>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Rheumatoid arthritis</w:t>
            </w:r>
          </w:p>
        </w:tc>
        <w:tc>
          <w:tcPr>
            <w:tcW w:w="1125" w:type="dxa"/>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0.33733</w:t>
            </w:r>
          </w:p>
        </w:tc>
        <w:tc>
          <w:tcPr>
            <w:tcW w:w="2189" w:type="dxa"/>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2.5</w:t>
            </w:r>
          </w:p>
        </w:tc>
        <w:tc>
          <w:tcPr>
            <w:tcW w:w="2126" w:type="dxa"/>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11.2</w:t>
            </w:r>
          </w:p>
        </w:tc>
      </w:tr>
      <w:tr w:rsidR="00AB4FFA" w:rsidRPr="00497752" w:rsidTr="001071FB">
        <w:trPr>
          <w:cnfStyle w:val="000000100000" w:firstRow="0" w:lastRow="0" w:firstColumn="0" w:lastColumn="0" w:oddVBand="0" w:evenVBand="0" w:oddHBand="1" w:evenHBand="0" w:firstRowFirstColumn="0" w:firstRowLastColumn="0" w:lastRowFirstColumn="0" w:lastRowLastColumn="0"/>
          <w:trHeight w:val="288"/>
        </w:trPr>
        <w:tc>
          <w:tcPr>
            <w:tcW w:w="3740" w:type="dxa"/>
            <w:tcBorders>
              <w:top w:val="none" w:sz="0" w:space="0" w:color="auto"/>
              <w:left w:val="none" w:sz="0" w:space="0" w:color="auto"/>
            </w:tcBorders>
          </w:tcPr>
          <w:p w:rsidR="00AB4FFA" w:rsidRPr="00306EE1" w:rsidRDefault="00AB4FFA" w:rsidP="00AB4FFA">
            <w:pPr>
              <w:spacing w:after="0"/>
              <w:rPr>
                <w:rFonts w:asciiTheme="majorHAnsi" w:hAnsiTheme="majorHAnsi" w:cstheme="majorHAnsi"/>
                <w:b/>
                <w:color w:val="000000"/>
                <w:sz w:val="18"/>
                <w:szCs w:val="18"/>
              </w:rPr>
            </w:pPr>
            <w:r w:rsidRPr="00B85EE2">
              <w:rPr>
                <w:rFonts w:asciiTheme="majorHAnsi" w:hAnsiTheme="majorHAnsi" w:cstheme="majorHAnsi"/>
                <w:color w:val="000000"/>
                <w:sz w:val="18"/>
                <w:szCs w:val="18"/>
              </w:rPr>
              <w:t>Neoplasm</w:t>
            </w:r>
          </w:p>
        </w:tc>
        <w:tc>
          <w:tcPr>
            <w:tcW w:w="1125" w:type="dxa"/>
            <w:tcBorders>
              <w:top w:val="none" w:sz="0" w:space="0" w:color="auto"/>
            </w:tcBorders>
          </w:tcPr>
          <w:p w:rsidR="00AB4FFA" w:rsidRPr="004169A7" w:rsidRDefault="00AB4FFA" w:rsidP="00AB4FFA">
            <w:pPr>
              <w:spacing w:after="0"/>
              <w:jc w:val="right"/>
              <w:rPr>
                <w:rFonts w:asciiTheme="majorHAnsi" w:hAnsiTheme="majorHAnsi" w:cstheme="majorHAnsi"/>
                <w:sz w:val="18"/>
                <w:szCs w:val="18"/>
              </w:rPr>
            </w:pPr>
            <w:r w:rsidRPr="004169A7">
              <w:rPr>
                <w:rFonts w:asciiTheme="majorHAnsi" w:hAnsiTheme="majorHAnsi" w:cstheme="majorHAnsi"/>
                <w:sz w:val="18"/>
                <w:szCs w:val="18"/>
              </w:rPr>
              <w:t>0.32150</w:t>
            </w:r>
          </w:p>
        </w:tc>
        <w:tc>
          <w:tcPr>
            <w:tcW w:w="2189" w:type="dxa"/>
            <w:tcBorders>
              <w:top w:val="none" w:sz="0" w:space="0" w:color="auto"/>
            </w:tcBorders>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7.0</w:t>
            </w:r>
          </w:p>
        </w:tc>
        <w:tc>
          <w:tcPr>
            <w:tcW w:w="2126" w:type="dxa"/>
            <w:tcBorders>
              <w:top w:val="none" w:sz="0" w:space="0" w:color="auto"/>
              <w:right w:val="none" w:sz="0" w:space="0" w:color="auto"/>
            </w:tcBorders>
            <w:noWrap/>
            <w:hideMark/>
          </w:tcPr>
          <w:p w:rsidR="00AB4FFA" w:rsidRPr="004169A7" w:rsidRDefault="00AB4FFA" w:rsidP="001071FB">
            <w:pPr>
              <w:spacing w:after="0"/>
              <w:jc w:val="center"/>
              <w:rPr>
                <w:rFonts w:asciiTheme="majorHAnsi" w:hAnsiTheme="majorHAnsi" w:cstheme="majorHAnsi"/>
                <w:color w:val="000000"/>
                <w:sz w:val="18"/>
                <w:szCs w:val="18"/>
              </w:rPr>
            </w:pPr>
            <w:r w:rsidRPr="004169A7">
              <w:rPr>
                <w:rFonts w:asciiTheme="majorHAnsi" w:hAnsiTheme="majorHAnsi" w:cstheme="majorHAnsi"/>
                <w:color w:val="000000"/>
                <w:sz w:val="18"/>
                <w:szCs w:val="18"/>
              </w:rPr>
              <w:t>8.5</w:t>
            </w:r>
          </w:p>
        </w:tc>
      </w:tr>
    </w:tbl>
    <w:p w:rsidR="00AB4FFA" w:rsidRDefault="00AB4FFA" w:rsidP="00AB4FFA">
      <w:pPr>
        <w:rPr>
          <w:rFonts w:eastAsia="Calibri" w:cs="Times New Roman"/>
          <w:noProof/>
          <w:sz w:val="18"/>
          <w:szCs w:val="18"/>
          <w:lang w:eastAsia="en-AU"/>
        </w:rPr>
      </w:pPr>
      <w:r w:rsidRPr="00B85EE2">
        <w:rPr>
          <w:rFonts w:eastAsia="Calibri" w:cs="Times New Roman"/>
          <w:noProof/>
          <w:sz w:val="18"/>
          <w:szCs w:val="18"/>
          <w:lang w:eastAsia="en-AU"/>
        </w:rPr>
        <w:t>Source</w:t>
      </w:r>
      <w:r w:rsidR="007A31E9">
        <w:rPr>
          <w:rFonts w:eastAsia="Calibri" w:cs="Times New Roman"/>
          <w:noProof/>
          <w:sz w:val="18"/>
          <w:szCs w:val="18"/>
          <w:lang w:eastAsia="en-AU"/>
        </w:rPr>
        <w:t>s</w:t>
      </w:r>
      <w:r w:rsidRPr="00B85EE2">
        <w:rPr>
          <w:rFonts w:eastAsia="Calibri" w:cs="Times New Roman"/>
          <w:noProof/>
          <w:sz w:val="18"/>
          <w:szCs w:val="18"/>
          <w:lang w:eastAsia="en-AU"/>
        </w:rPr>
        <w:t xml:space="preserve">: Murray et al. </w:t>
      </w:r>
      <w:r>
        <w:rPr>
          <w:rFonts w:eastAsia="Calibri" w:cs="Times New Roman"/>
          <w:noProof/>
          <w:sz w:val="18"/>
          <w:szCs w:val="18"/>
          <w:lang w:eastAsia="en-AU"/>
        </w:rPr>
        <w:t>(</w:t>
      </w:r>
      <w:r w:rsidRPr="00B85EE2">
        <w:rPr>
          <w:rFonts w:eastAsia="Calibri" w:cs="Times New Roman"/>
          <w:noProof/>
          <w:sz w:val="18"/>
          <w:szCs w:val="18"/>
          <w:lang w:eastAsia="en-AU"/>
        </w:rPr>
        <w:t>2012</w:t>
      </w:r>
      <w:r>
        <w:rPr>
          <w:rFonts w:eastAsia="Calibri" w:cs="Times New Roman"/>
          <w:noProof/>
          <w:sz w:val="18"/>
          <w:szCs w:val="18"/>
          <w:lang w:eastAsia="en-AU"/>
        </w:rPr>
        <w:t>)</w:t>
      </w:r>
      <w:r w:rsidR="004B6E2C">
        <w:rPr>
          <w:rFonts w:eastAsia="Calibri" w:cs="Times New Roman"/>
          <w:noProof/>
          <w:sz w:val="18"/>
          <w:szCs w:val="18"/>
          <w:lang w:eastAsia="en-AU"/>
        </w:rPr>
        <w:t>,</w:t>
      </w:r>
      <w:r w:rsidRPr="00B85EE2">
        <w:rPr>
          <w:rFonts w:eastAsia="Calibri" w:cs="Times New Roman"/>
          <w:noProof/>
          <w:sz w:val="18"/>
          <w:szCs w:val="18"/>
          <w:lang w:eastAsia="en-AU"/>
        </w:rPr>
        <w:t xml:space="preserve"> Salomon</w:t>
      </w:r>
      <w:r>
        <w:rPr>
          <w:rFonts w:eastAsia="Calibri" w:cs="Times New Roman"/>
          <w:noProof/>
          <w:sz w:val="18"/>
          <w:szCs w:val="18"/>
          <w:lang w:eastAsia="en-AU"/>
        </w:rPr>
        <w:t xml:space="preserve"> et al.</w:t>
      </w:r>
      <w:r w:rsidRPr="00B85EE2">
        <w:rPr>
          <w:rFonts w:eastAsia="Calibri" w:cs="Times New Roman"/>
          <w:noProof/>
          <w:sz w:val="18"/>
          <w:szCs w:val="18"/>
          <w:lang w:eastAsia="en-AU"/>
        </w:rPr>
        <w:t xml:space="preserve"> (2012</w:t>
      </w:r>
      <w:r>
        <w:rPr>
          <w:rFonts w:eastAsia="Calibri" w:cs="Times New Roman"/>
          <w:noProof/>
          <w:sz w:val="18"/>
          <w:szCs w:val="18"/>
          <w:lang w:eastAsia="en-AU"/>
        </w:rPr>
        <w:t>)</w:t>
      </w:r>
      <w:r w:rsidRPr="00B85EE2">
        <w:rPr>
          <w:rFonts w:eastAsia="Calibri" w:cs="Times New Roman"/>
          <w:noProof/>
          <w:sz w:val="18"/>
          <w:szCs w:val="18"/>
          <w:lang w:eastAsia="en-AU"/>
        </w:rPr>
        <w:t xml:space="preserve"> and Goetzel et al</w:t>
      </w:r>
      <w:r>
        <w:rPr>
          <w:rFonts w:eastAsia="Calibri" w:cs="Times New Roman"/>
          <w:noProof/>
          <w:sz w:val="18"/>
          <w:szCs w:val="18"/>
          <w:lang w:eastAsia="en-AU"/>
        </w:rPr>
        <w:t>.</w:t>
      </w:r>
      <w:r w:rsidRPr="00B85EE2">
        <w:rPr>
          <w:rFonts w:eastAsia="Calibri" w:cs="Times New Roman"/>
          <w:noProof/>
          <w:sz w:val="18"/>
          <w:szCs w:val="18"/>
          <w:lang w:eastAsia="en-AU"/>
        </w:rPr>
        <w:t xml:space="preserve"> </w:t>
      </w:r>
      <w:r>
        <w:rPr>
          <w:rFonts w:eastAsia="Calibri" w:cs="Times New Roman"/>
          <w:noProof/>
          <w:sz w:val="18"/>
          <w:szCs w:val="18"/>
          <w:lang w:eastAsia="en-AU"/>
        </w:rPr>
        <w:t>(</w:t>
      </w:r>
      <w:r w:rsidRPr="00B85EE2">
        <w:rPr>
          <w:rFonts w:eastAsia="Calibri" w:cs="Times New Roman"/>
          <w:noProof/>
          <w:sz w:val="18"/>
          <w:szCs w:val="18"/>
          <w:lang w:eastAsia="en-AU"/>
        </w:rPr>
        <w:t>2004).</w:t>
      </w:r>
    </w:p>
    <w:p w:rsidR="00AB4FFA" w:rsidRPr="007730DE" w:rsidRDefault="00AB4FFA" w:rsidP="00AB4FFA">
      <w:pPr>
        <w:rPr>
          <w:rFonts w:eastAsia="Calibri" w:cs="Times New Roman"/>
          <w:szCs w:val="22"/>
          <w:lang w:eastAsia="en-AU"/>
        </w:rPr>
      </w:pPr>
      <w:r w:rsidRPr="007730DE">
        <w:rPr>
          <w:rFonts w:eastAsia="Calibri" w:cs="Times New Roman"/>
          <w:noProof/>
          <w:szCs w:val="22"/>
          <w:lang w:eastAsia="en-AU"/>
        </w:rPr>
        <w:t xml:space="preserve">To calculate the economic loss due to morbidity suffered by people in the </w:t>
      </w:r>
      <w:r>
        <w:rPr>
          <w:rFonts w:eastAsia="Calibri" w:cs="Times New Roman"/>
          <w:noProof/>
          <w:szCs w:val="22"/>
          <w:lang w:eastAsia="en-AU"/>
        </w:rPr>
        <w:t>labour</w:t>
      </w:r>
      <w:r w:rsidRPr="007730DE">
        <w:rPr>
          <w:rFonts w:eastAsia="Calibri" w:cs="Times New Roman"/>
          <w:noProof/>
          <w:szCs w:val="22"/>
          <w:lang w:eastAsia="en-AU"/>
        </w:rPr>
        <w:t xml:space="preserve"> force, </w:t>
      </w:r>
      <w:r w:rsidR="00F400C2">
        <w:rPr>
          <w:rFonts w:eastAsia="Calibri" w:cs="Times New Roman"/>
          <w:noProof/>
          <w:szCs w:val="22"/>
          <w:lang w:eastAsia="en-AU"/>
        </w:rPr>
        <w:t>one of the key aspects of the mode</w:t>
      </w:r>
      <w:r w:rsidR="007A31E9">
        <w:rPr>
          <w:rFonts w:eastAsia="Calibri" w:cs="Times New Roman"/>
          <w:noProof/>
          <w:szCs w:val="22"/>
          <w:lang w:eastAsia="en-AU"/>
        </w:rPr>
        <w:t>l</w:t>
      </w:r>
      <w:r w:rsidR="00F400C2">
        <w:rPr>
          <w:rFonts w:eastAsia="Calibri" w:cs="Times New Roman"/>
          <w:noProof/>
          <w:szCs w:val="22"/>
          <w:lang w:eastAsia="en-AU"/>
        </w:rPr>
        <w:t xml:space="preserve"> is</w:t>
      </w:r>
      <w:r w:rsidRPr="007730DE">
        <w:rPr>
          <w:rFonts w:eastAsia="Calibri" w:cs="Times New Roman"/>
          <w:noProof/>
          <w:szCs w:val="22"/>
          <w:lang w:eastAsia="en-AU"/>
        </w:rPr>
        <w:t xml:space="preserve"> to quantify </w:t>
      </w:r>
      <w:r w:rsidR="00F400C2">
        <w:rPr>
          <w:rFonts w:eastAsia="Calibri" w:cs="Times New Roman"/>
          <w:noProof/>
          <w:szCs w:val="22"/>
          <w:lang w:eastAsia="en-AU"/>
        </w:rPr>
        <w:t>the</w:t>
      </w:r>
      <w:r w:rsidRPr="007730DE">
        <w:rPr>
          <w:rFonts w:eastAsia="Calibri" w:cs="Times New Roman"/>
          <w:noProof/>
          <w:szCs w:val="22"/>
          <w:lang w:eastAsia="en-AU"/>
        </w:rPr>
        <w:t xml:space="preserve"> i</w:t>
      </w:r>
      <w:r>
        <w:rPr>
          <w:rFonts w:eastAsia="Calibri" w:cs="Times New Roman"/>
          <w:noProof/>
          <w:szCs w:val="22"/>
          <w:lang w:eastAsia="en-AU"/>
        </w:rPr>
        <w:t>m</w:t>
      </w:r>
      <w:r w:rsidRPr="007730DE">
        <w:rPr>
          <w:rFonts w:eastAsia="Calibri" w:cs="Times New Roman"/>
          <w:noProof/>
          <w:szCs w:val="22"/>
          <w:lang w:eastAsia="en-AU"/>
        </w:rPr>
        <w:t xml:space="preserve">pact </w:t>
      </w:r>
      <w:r w:rsidR="00F400C2">
        <w:rPr>
          <w:rFonts w:eastAsia="Calibri" w:cs="Times New Roman"/>
          <w:noProof/>
          <w:szCs w:val="22"/>
          <w:lang w:eastAsia="en-AU"/>
        </w:rPr>
        <w:t xml:space="preserve">of </w:t>
      </w:r>
      <w:r w:rsidRPr="007730DE">
        <w:rPr>
          <w:rFonts w:eastAsia="Calibri" w:cs="Times New Roman"/>
          <w:noProof/>
          <w:szCs w:val="22"/>
          <w:lang w:eastAsia="en-AU"/>
        </w:rPr>
        <w:t xml:space="preserve">disease on </w:t>
      </w:r>
      <w:r>
        <w:rPr>
          <w:rFonts w:eastAsia="Calibri" w:cs="Times New Roman"/>
          <w:noProof/>
          <w:szCs w:val="22"/>
          <w:lang w:eastAsia="en-AU"/>
        </w:rPr>
        <w:t>labour</w:t>
      </w:r>
      <w:r w:rsidRPr="007730DE">
        <w:rPr>
          <w:rFonts w:eastAsia="Calibri" w:cs="Times New Roman"/>
          <w:noProof/>
          <w:szCs w:val="22"/>
          <w:lang w:eastAsia="en-AU"/>
        </w:rPr>
        <w:t xml:space="preserve"> force partic</w:t>
      </w:r>
      <w:r>
        <w:rPr>
          <w:rFonts w:eastAsia="Calibri" w:cs="Times New Roman"/>
          <w:noProof/>
          <w:szCs w:val="22"/>
          <w:lang w:eastAsia="en-AU"/>
        </w:rPr>
        <w:t>i</w:t>
      </w:r>
      <w:r w:rsidRPr="007730DE">
        <w:rPr>
          <w:rFonts w:eastAsia="Calibri" w:cs="Times New Roman"/>
          <w:noProof/>
          <w:szCs w:val="22"/>
          <w:lang w:eastAsia="en-AU"/>
        </w:rPr>
        <w:t>pation and on productivity at work. For this we use estimates by Goetzel et</w:t>
      </w:r>
      <w:r>
        <w:rPr>
          <w:rFonts w:eastAsia="Calibri" w:cs="Times New Roman"/>
          <w:noProof/>
          <w:szCs w:val="22"/>
          <w:lang w:eastAsia="en-AU"/>
        </w:rPr>
        <w:t xml:space="preserve"> al. </w:t>
      </w:r>
      <w:r w:rsidRPr="007730DE">
        <w:rPr>
          <w:rFonts w:eastAsia="Calibri" w:cs="Times New Roman"/>
          <w:noProof/>
          <w:szCs w:val="22"/>
          <w:lang w:eastAsia="en-AU"/>
        </w:rPr>
        <w:t xml:space="preserve">(2004) on productivity loss due to absenteeism and presenteeism by disease fitted to the disease categories used in the modelling (Table </w:t>
      </w:r>
      <w:r w:rsidR="0050331B">
        <w:rPr>
          <w:rFonts w:eastAsia="Calibri" w:cs="Times New Roman"/>
          <w:noProof/>
          <w:szCs w:val="22"/>
          <w:lang w:eastAsia="en-AU"/>
        </w:rPr>
        <w:t>1</w:t>
      </w:r>
      <w:r w:rsidRPr="007730DE">
        <w:rPr>
          <w:rFonts w:eastAsia="Calibri" w:cs="Times New Roman"/>
          <w:noProof/>
          <w:szCs w:val="22"/>
          <w:lang w:eastAsia="en-AU"/>
        </w:rPr>
        <w:t>).</w:t>
      </w:r>
      <w:r>
        <w:rPr>
          <w:rFonts w:eastAsia="Calibri" w:cs="Times New Roman"/>
          <w:noProof/>
          <w:szCs w:val="22"/>
          <w:lang w:eastAsia="en-AU"/>
        </w:rPr>
        <w:t xml:space="preserve"> An extensive review of the literature in the various countries on these issues has been conducted for this project, but no better source of such estimates has yet been identified. </w:t>
      </w:r>
    </w:p>
    <w:p w:rsidR="00AB4FFA" w:rsidRDefault="00AB4FFA" w:rsidP="00AB4FFA">
      <w:pPr>
        <w:rPr>
          <w:rFonts w:eastAsia="Calibri" w:cs="Times New Roman"/>
          <w:noProof/>
          <w:szCs w:val="22"/>
          <w:lang w:eastAsia="en-AU"/>
        </w:rPr>
      </w:pPr>
      <w:r w:rsidRPr="007730DE">
        <w:rPr>
          <w:rFonts w:eastAsia="Calibri" w:cs="Times New Roman"/>
          <w:noProof/>
          <w:szCs w:val="22"/>
          <w:lang w:eastAsia="en-AU"/>
        </w:rPr>
        <w:t xml:space="preserve">Multiplying the GDP per person in the </w:t>
      </w:r>
      <w:r>
        <w:rPr>
          <w:rFonts w:eastAsia="Calibri" w:cs="Times New Roman"/>
          <w:noProof/>
          <w:szCs w:val="22"/>
          <w:lang w:eastAsia="en-AU"/>
        </w:rPr>
        <w:t>labour</w:t>
      </w:r>
      <w:r w:rsidRPr="007730DE">
        <w:rPr>
          <w:rFonts w:eastAsia="Calibri" w:cs="Times New Roman"/>
          <w:noProof/>
          <w:szCs w:val="22"/>
          <w:lang w:eastAsia="en-AU"/>
        </w:rPr>
        <w:t xml:space="preserve"> force estimates by the loss in productivity from a disease gives the estimated reduction in GDP per person attributable to a particluar disease. Multiplying this by the prevalence in the </w:t>
      </w:r>
      <w:r>
        <w:rPr>
          <w:rFonts w:eastAsia="Calibri" w:cs="Times New Roman"/>
          <w:noProof/>
          <w:szCs w:val="22"/>
          <w:lang w:eastAsia="en-AU"/>
        </w:rPr>
        <w:t>labour</w:t>
      </w:r>
      <w:r w:rsidRPr="007730DE">
        <w:rPr>
          <w:rFonts w:eastAsia="Calibri" w:cs="Times New Roman"/>
          <w:noProof/>
          <w:szCs w:val="22"/>
          <w:lang w:eastAsia="en-AU"/>
        </w:rPr>
        <w:t xml:space="preserve"> force of that disease gives an estimate of the annual loss in GDP from that disease.</w:t>
      </w:r>
    </w:p>
    <w:p w:rsidR="00AB4FFA" w:rsidRDefault="00AB4FFA" w:rsidP="00AB4FFA">
      <w:pPr>
        <w:pStyle w:val="Heading3"/>
      </w:pPr>
      <w:bookmarkStart w:id="13" w:name="_Toc432083910"/>
      <w:r>
        <w:t>Interpreting the estimates</w:t>
      </w:r>
      <w:bookmarkEnd w:id="13"/>
    </w:p>
    <w:p w:rsidR="00F400C2" w:rsidRDefault="00AB4FFA" w:rsidP="00AB4FFA">
      <w:r>
        <w:t xml:space="preserve">The overall estimates of the GDP losses arising from deaths (from 2010 onwards) and from absenteeism and presenteeism from the prevalence of NCDs in the actual and potential workforce are summarised in Table </w:t>
      </w:r>
      <w:r w:rsidR="00314BBD">
        <w:t>2</w:t>
      </w:r>
      <w:r>
        <w:t xml:space="preserve">. Table </w:t>
      </w:r>
      <w:r w:rsidR="00314BBD">
        <w:t>2</w:t>
      </w:r>
      <w:r w:rsidR="007A31E9">
        <w:t xml:space="preserve"> </w:t>
      </w:r>
      <w:r>
        <w:t>shows the total estimated losses in US$ billions, at 2010 values, at five</w:t>
      </w:r>
      <w:r w:rsidR="007A31E9">
        <w:t>-</w:t>
      </w:r>
      <w:r>
        <w:t xml:space="preserve">year intervals over 2010-30, and also these costs as a share of GDP for each </w:t>
      </w:r>
      <w:r w:rsidR="001071A0">
        <w:t>country</w:t>
      </w:r>
      <w:r w:rsidR="007A31E9">
        <w:t>.</w:t>
      </w:r>
    </w:p>
    <w:p w:rsidR="007A31E9" w:rsidRDefault="00AB4FFA" w:rsidP="001071FB">
      <w:r>
        <w:t xml:space="preserve">In interpreting these estimates, it is important to note that they primarily reflect the pattern of ageing of the population of labour force age in the various </w:t>
      </w:r>
      <w:r w:rsidRPr="00EB0CE5">
        <w:t>countries</w:t>
      </w:r>
      <w:r w:rsidR="007A31E9">
        <w:t>,</w:t>
      </w:r>
      <w:r>
        <w:t xml:space="preserve"> and the level of age standardised NCD mortality and non-fatal prevalence rates in 2010. In countries such as Japan</w:t>
      </w:r>
      <w:r w:rsidR="007A31E9">
        <w:t>,</w:t>
      </w:r>
      <w:r>
        <w:t xml:space="preserve"> where ageing is well advanced and 2010 mortality and prevalence rates are relatively </w:t>
      </w:r>
      <w:r w:rsidRPr="00EC5C71">
        <w:t>high,</w:t>
      </w:r>
      <w:r>
        <w:t xml:space="preserve"> the cost by 2010 is already relatively high and the future growth in cost more limited. This in part reflects the fact that many of the costs of the interaction of ageing and NCDs are felt beyond the years of labour force age. </w:t>
      </w:r>
    </w:p>
    <w:p w:rsidR="007A31E9" w:rsidRDefault="007A31E9" w:rsidP="007A31E9">
      <w:r w:rsidRPr="00D4666E">
        <w:t>The economic cost to Brazil of these factors is also high, rising from 5.2% to 5.8% over the period 2010-</w:t>
      </w:r>
      <w:r w:rsidRPr="004C320E">
        <w:t>2030. Its workforce is ageing at one of the highest rates (</w:t>
      </w:r>
      <w:r w:rsidRPr="001071FB">
        <w:t xml:space="preserve">Figure </w:t>
      </w:r>
      <w:r w:rsidR="004C320E" w:rsidRPr="004C320E">
        <w:t>2</w:t>
      </w:r>
      <w:r w:rsidRPr="004C320E">
        <w:t>) and its disease burden from NCDs is also relatively high (</w:t>
      </w:r>
      <w:r w:rsidRPr="001071FB">
        <w:t xml:space="preserve">Figure </w:t>
      </w:r>
      <w:r w:rsidR="004C320E" w:rsidRPr="001071FB">
        <w:t>4</w:t>
      </w:r>
      <w:r w:rsidRPr="001071FB">
        <w:t>).</w:t>
      </w:r>
    </w:p>
    <w:p w:rsidR="007A31E9" w:rsidRPr="00D4666E" w:rsidRDefault="007A31E9" w:rsidP="007A31E9">
      <w:r>
        <w:t>Mexico, which has one of the lowest estimated costs (only 3.9% by 2030 including NCD deaths) has the benefit of a particularly low NCD burden of disease. Its smoking rates and blood pressure levels are low, and although its average BMI and diabetes prevalence is relatively high, its somewhat high burden of disease arising from diabetes is more than offset by low burdens for mental disorders and respiratory diseases.</w:t>
      </w:r>
    </w:p>
    <w:p w:rsidR="007A31E9" w:rsidRDefault="007A31E9">
      <w:pPr>
        <w:spacing w:after="160" w:line="259" w:lineRule="auto"/>
        <w:rPr>
          <w:rFonts w:asciiTheme="majorHAnsi" w:hAnsiTheme="majorHAnsi" w:cstheme="majorHAnsi"/>
          <w:b/>
          <w:color w:val="000000"/>
          <w:sz w:val="20"/>
        </w:rPr>
      </w:pPr>
    </w:p>
    <w:p w:rsidR="00AB4FFA" w:rsidRPr="004169A7" w:rsidRDefault="00AB4FFA" w:rsidP="00C66BFD">
      <w:pPr>
        <w:pStyle w:val="Tableheading"/>
      </w:pPr>
      <w:bookmarkStart w:id="14" w:name="_Toc432086645"/>
      <w:r w:rsidRPr="00913922">
        <w:t xml:space="preserve">Table </w:t>
      </w:r>
      <w:r w:rsidR="00314BBD">
        <w:t>2</w:t>
      </w:r>
      <w:r w:rsidR="007A31E9" w:rsidRPr="00913922">
        <w:t xml:space="preserve"> </w:t>
      </w:r>
      <w:r w:rsidRPr="00913922">
        <w:t>Estimates of lost GDP from NCD deaths, absenteeism and presenteeism, 1</w:t>
      </w:r>
      <w:r w:rsidR="007A31E9">
        <w:t>1</w:t>
      </w:r>
      <w:r w:rsidRPr="00913922">
        <w:t xml:space="preserve"> countries, to 2030</w:t>
      </w:r>
      <w:bookmarkEnd w:id="14"/>
    </w:p>
    <w:tbl>
      <w:tblPr>
        <w:tblW w:w="0" w:type="auto"/>
        <w:tblLayout w:type="fixed"/>
        <w:tblLook w:val="0420" w:firstRow="1" w:lastRow="0" w:firstColumn="0" w:lastColumn="0" w:noHBand="0" w:noVBand="1"/>
      </w:tblPr>
      <w:tblGrid>
        <w:gridCol w:w="1526"/>
        <w:gridCol w:w="878"/>
        <w:gridCol w:w="879"/>
        <w:gridCol w:w="879"/>
        <w:gridCol w:w="879"/>
        <w:gridCol w:w="879"/>
      </w:tblGrid>
      <w:tr w:rsidR="007A31E9" w:rsidRPr="002D6EA2" w:rsidTr="007A31E9">
        <w:tc>
          <w:tcPr>
            <w:tcW w:w="1526" w:type="dxa"/>
            <w:shd w:val="clear" w:color="auto" w:fill="5B9BD5" w:themeFill="accent1"/>
            <w:hideMark/>
          </w:tcPr>
          <w:p w:rsidR="00AB4FFA" w:rsidRPr="001071FB" w:rsidRDefault="00AB4FFA" w:rsidP="00AB4FFA">
            <w:pPr>
              <w:spacing w:after="0"/>
              <w:rPr>
                <w:rFonts w:eastAsia="Times New Roman" w:cs="Calibri"/>
                <w:b/>
                <w:bCs/>
                <w:color w:val="FFFFFF" w:themeColor="background1"/>
                <w:sz w:val="18"/>
                <w:szCs w:val="18"/>
                <w:lang w:eastAsia="en-AU"/>
              </w:rPr>
            </w:pPr>
          </w:p>
        </w:tc>
        <w:tc>
          <w:tcPr>
            <w:tcW w:w="878" w:type="dxa"/>
            <w:shd w:val="clear" w:color="auto" w:fill="5B9BD5" w:themeFill="accent1"/>
            <w:hideMark/>
          </w:tcPr>
          <w:p w:rsidR="00AB4FFA" w:rsidRPr="001071FB" w:rsidRDefault="00AB4FFA" w:rsidP="00AB4FFA">
            <w:pPr>
              <w:spacing w:after="0"/>
              <w:jc w:val="right"/>
              <w:textAlignment w:val="bottom"/>
              <w:rPr>
                <w:rFonts w:eastAsia="Times New Roman" w:cs="Calibri"/>
                <w:b/>
                <w:bCs/>
                <w:color w:val="FFFFFF" w:themeColor="background1"/>
                <w:sz w:val="18"/>
                <w:szCs w:val="18"/>
                <w:lang w:eastAsia="en-AU"/>
              </w:rPr>
            </w:pPr>
            <w:r w:rsidRPr="001071FB">
              <w:rPr>
                <w:rFonts w:eastAsia="Times New Roman" w:cs="Calibri"/>
                <w:b/>
                <w:color w:val="FFFFFF" w:themeColor="background1"/>
                <w:kern w:val="24"/>
                <w:sz w:val="18"/>
                <w:szCs w:val="18"/>
                <w:lang w:eastAsia="en-AU"/>
              </w:rPr>
              <w:t>2010</w:t>
            </w:r>
          </w:p>
        </w:tc>
        <w:tc>
          <w:tcPr>
            <w:tcW w:w="879" w:type="dxa"/>
            <w:shd w:val="clear" w:color="auto" w:fill="5B9BD5" w:themeFill="accent1"/>
            <w:hideMark/>
          </w:tcPr>
          <w:p w:rsidR="00AB4FFA" w:rsidRPr="001071FB" w:rsidRDefault="00AB4FFA" w:rsidP="00AB4FFA">
            <w:pPr>
              <w:spacing w:after="0"/>
              <w:jc w:val="right"/>
              <w:textAlignment w:val="bottom"/>
              <w:rPr>
                <w:rFonts w:eastAsia="Times New Roman" w:cs="Calibri"/>
                <w:b/>
                <w:bCs/>
                <w:color w:val="FFFFFF" w:themeColor="background1"/>
                <w:sz w:val="18"/>
                <w:szCs w:val="18"/>
                <w:lang w:eastAsia="en-AU"/>
              </w:rPr>
            </w:pPr>
            <w:r w:rsidRPr="001071FB">
              <w:rPr>
                <w:rFonts w:eastAsia="Times New Roman" w:cs="Calibri"/>
                <w:b/>
                <w:color w:val="FFFFFF" w:themeColor="background1"/>
                <w:kern w:val="24"/>
                <w:sz w:val="18"/>
                <w:szCs w:val="18"/>
                <w:lang w:eastAsia="en-AU"/>
              </w:rPr>
              <w:t>2015</w:t>
            </w:r>
          </w:p>
        </w:tc>
        <w:tc>
          <w:tcPr>
            <w:tcW w:w="879" w:type="dxa"/>
            <w:shd w:val="clear" w:color="auto" w:fill="5B9BD5" w:themeFill="accent1"/>
            <w:hideMark/>
          </w:tcPr>
          <w:p w:rsidR="00AB4FFA" w:rsidRPr="001071FB" w:rsidRDefault="00AB4FFA" w:rsidP="00AB4FFA">
            <w:pPr>
              <w:spacing w:after="0"/>
              <w:jc w:val="right"/>
              <w:textAlignment w:val="bottom"/>
              <w:rPr>
                <w:rFonts w:eastAsia="Times New Roman" w:cs="Calibri"/>
                <w:b/>
                <w:bCs/>
                <w:color w:val="FFFFFF" w:themeColor="background1"/>
                <w:sz w:val="18"/>
                <w:szCs w:val="18"/>
                <w:lang w:eastAsia="en-AU"/>
              </w:rPr>
            </w:pPr>
            <w:r w:rsidRPr="001071FB">
              <w:rPr>
                <w:rFonts w:eastAsia="Times New Roman" w:cs="Calibri"/>
                <w:b/>
                <w:color w:val="FFFFFF" w:themeColor="background1"/>
                <w:kern w:val="24"/>
                <w:sz w:val="18"/>
                <w:szCs w:val="18"/>
                <w:lang w:eastAsia="en-AU"/>
              </w:rPr>
              <w:t>2020</w:t>
            </w:r>
          </w:p>
        </w:tc>
        <w:tc>
          <w:tcPr>
            <w:tcW w:w="879" w:type="dxa"/>
            <w:shd w:val="clear" w:color="auto" w:fill="5B9BD5" w:themeFill="accent1"/>
            <w:hideMark/>
          </w:tcPr>
          <w:p w:rsidR="00AB4FFA" w:rsidRPr="001071FB" w:rsidRDefault="00AB4FFA" w:rsidP="00AB4FFA">
            <w:pPr>
              <w:spacing w:after="0"/>
              <w:jc w:val="right"/>
              <w:textAlignment w:val="bottom"/>
              <w:rPr>
                <w:rFonts w:eastAsia="Times New Roman" w:cs="Calibri"/>
                <w:b/>
                <w:bCs/>
                <w:color w:val="FFFFFF" w:themeColor="background1"/>
                <w:sz w:val="18"/>
                <w:szCs w:val="18"/>
                <w:lang w:eastAsia="en-AU"/>
              </w:rPr>
            </w:pPr>
            <w:r w:rsidRPr="001071FB">
              <w:rPr>
                <w:rFonts w:eastAsia="Times New Roman" w:cs="Calibri"/>
                <w:b/>
                <w:color w:val="FFFFFF" w:themeColor="background1"/>
                <w:kern w:val="24"/>
                <w:sz w:val="18"/>
                <w:szCs w:val="18"/>
                <w:lang w:eastAsia="en-AU"/>
              </w:rPr>
              <w:t>2025</w:t>
            </w:r>
          </w:p>
        </w:tc>
        <w:tc>
          <w:tcPr>
            <w:tcW w:w="879" w:type="dxa"/>
            <w:shd w:val="clear" w:color="auto" w:fill="5B9BD5" w:themeFill="accent1"/>
            <w:hideMark/>
          </w:tcPr>
          <w:p w:rsidR="00AB4FFA" w:rsidRPr="001071FB" w:rsidRDefault="00AB4FFA" w:rsidP="00AB4FFA">
            <w:pPr>
              <w:spacing w:after="0"/>
              <w:jc w:val="right"/>
              <w:textAlignment w:val="bottom"/>
              <w:rPr>
                <w:rFonts w:eastAsia="Times New Roman" w:cs="Calibri"/>
                <w:b/>
                <w:bCs/>
                <w:color w:val="FFFFFF" w:themeColor="background1"/>
                <w:sz w:val="18"/>
                <w:szCs w:val="18"/>
                <w:lang w:eastAsia="en-AU"/>
              </w:rPr>
            </w:pPr>
            <w:r w:rsidRPr="001071FB">
              <w:rPr>
                <w:rFonts w:eastAsia="Times New Roman" w:cs="Calibri"/>
                <w:b/>
                <w:color w:val="FFFFFF" w:themeColor="background1"/>
                <w:kern w:val="24"/>
                <w:sz w:val="18"/>
                <w:szCs w:val="18"/>
                <w:lang w:eastAsia="en-AU"/>
              </w:rPr>
              <w:t>2030</w:t>
            </w:r>
          </w:p>
        </w:tc>
      </w:tr>
      <w:tr w:rsidR="00AB4FFA" w:rsidRPr="00D869C0" w:rsidTr="00AB4FFA">
        <w:tc>
          <w:tcPr>
            <w:tcW w:w="1526" w:type="dxa"/>
            <w:shd w:val="clear" w:color="auto" w:fill="5B9BD5" w:themeFill="accent1"/>
            <w:hideMark/>
          </w:tcPr>
          <w:p w:rsidR="00AB4FFA" w:rsidRPr="00D869C0" w:rsidRDefault="00AB4FFA" w:rsidP="00AB4FFA">
            <w:pPr>
              <w:spacing w:after="0"/>
              <w:rPr>
                <w:rFonts w:eastAsia="Times New Roman" w:cs="Calibri"/>
                <w:color w:val="FFFFFF" w:themeColor="background1"/>
                <w:sz w:val="18"/>
                <w:szCs w:val="18"/>
                <w:lang w:eastAsia="en-AU"/>
              </w:rPr>
            </w:pPr>
          </w:p>
        </w:tc>
        <w:tc>
          <w:tcPr>
            <w:tcW w:w="4394" w:type="dxa"/>
            <w:gridSpan w:val="5"/>
            <w:shd w:val="clear" w:color="auto" w:fill="5B9BD5" w:themeFill="accent1"/>
            <w:hideMark/>
          </w:tcPr>
          <w:p w:rsidR="00AB4FFA" w:rsidRPr="00D869C0" w:rsidRDefault="00AB4FFA" w:rsidP="00A541D1">
            <w:pPr>
              <w:spacing w:after="0"/>
              <w:jc w:val="center"/>
              <w:textAlignment w:val="bottom"/>
              <w:rPr>
                <w:rFonts w:eastAsia="Times New Roman" w:cs="Calibri"/>
                <w:b/>
                <w:color w:val="FFFFFF" w:themeColor="background1"/>
                <w:sz w:val="18"/>
                <w:szCs w:val="18"/>
                <w:lang w:eastAsia="en-AU"/>
              </w:rPr>
            </w:pPr>
            <w:r w:rsidRPr="00D869C0">
              <w:rPr>
                <w:rFonts w:eastAsia="Times New Roman" w:cs="Calibri"/>
                <w:b/>
                <w:color w:val="FFFFFF" w:themeColor="background1"/>
                <w:kern w:val="24"/>
                <w:sz w:val="18"/>
                <w:szCs w:val="18"/>
                <w:lang w:eastAsia="en-AU"/>
              </w:rPr>
              <w:t>($billion)</w:t>
            </w:r>
          </w:p>
        </w:tc>
      </w:tr>
      <w:tr w:rsidR="00AB4FFA" w:rsidRPr="00D869C0" w:rsidTr="00AB4FFA">
        <w:trPr>
          <w:trHeight w:hRule="exact" w:val="255"/>
        </w:trPr>
        <w:tc>
          <w:tcPr>
            <w:tcW w:w="1526" w:type="dxa"/>
            <w:hideMark/>
          </w:tcPr>
          <w:p w:rsidR="00AB4FFA" w:rsidRPr="008A01A3" w:rsidRDefault="00AB4FFA" w:rsidP="00AB4FFA">
            <w:pPr>
              <w:spacing w:after="0"/>
              <w:rPr>
                <w:rFonts w:cs="Calibri"/>
                <w:sz w:val="18"/>
                <w:szCs w:val="18"/>
              </w:rPr>
            </w:pPr>
            <w:r w:rsidRPr="008A01A3">
              <w:rPr>
                <w:rFonts w:cs="Calibri"/>
                <w:sz w:val="18"/>
                <w:szCs w:val="18"/>
              </w:rPr>
              <w:t>Brazil</w:t>
            </w:r>
          </w:p>
        </w:tc>
        <w:tc>
          <w:tcPr>
            <w:tcW w:w="878" w:type="dxa"/>
            <w:hideMark/>
          </w:tcPr>
          <w:p w:rsidR="00AB4FFA" w:rsidRPr="008A01A3" w:rsidRDefault="00AB4FFA" w:rsidP="00AB4FFA">
            <w:pPr>
              <w:spacing w:after="0"/>
              <w:jc w:val="right"/>
              <w:rPr>
                <w:rFonts w:cs="Calibri"/>
                <w:sz w:val="18"/>
                <w:szCs w:val="18"/>
              </w:rPr>
            </w:pPr>
            <w:r w:rsidRPr="008A01A3">
              <w:rPr>
                <w:rFonts w:cs="Calibri"/>
                <w:sz w:val="18"/>
                <w:szCs w:val="18"/>
              </w:rPr>
              <w:t>111.3</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129.8</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148.7</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167.0</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184.0</w:t>
            </w:r>
          </w:p>
        </w:tc>
      </w:tr>
      <w:tr w:rsidR="00A541D1" w:rsidRPr="00D869C0" w:rsidTr="005C250A">
        <w:trPr>
          <w:trHeight w:hRule="exact" w:val="255"/>
        </w:trPr>
        <w:tc>
          <w:tcPr>
            <w:tcW w:w="1526" w:type="dxa"/>
          </w:tcPr>
          <w:p w:rsidR="00A541D1" w:rsidRPr="008A01A3" w:rsidRDefault="00A541D1" w:rsidP="00AB4FFA">
            <w:pPr>
              <w:spacing w:after="0"/>
              <w:rPr>
                <w:rFonts w:cs="Calibri"/>
                <w:sz w:val="18"/>
                <w:szCs w:val="18"/>
              </w:rPr>
            </w:pPr>
            <w:r>
              <w:rPr>
                <w:rFonts w:cs="Calibri"/>
                <w:sz w:val="18"/>
                <w:szCs w:val="18"/>
              </w:rPr>
              <w:t>China</w:t>
            </w:r>
          </w:p>
        </w:tc>
        <w:tc>
          <w:tcPr>
            <w:tcW w:w="878" w:type="dxa"/>
            <w:vAlign w:val="center"/>
          </w:tcPr>
          <w:p w:rsidR="00A541D1" w:rsidRPr="00994A2B" w:rsidRDefault="00A541D1" w:rsidP="005C250A">
            <w:pPr>
              <w:jc w:val="right"/>
              <w:rPr>
                <w:sz w:val="18"/>
                <w:szCs w:val="18"/>
              </w:rPr>
            </w:pPr>
            <w:r w:rsidRPr="00994A2B">
              <w:rPr>
                <w:sz w:val="18"/>
                <w:szCs w:val="18"/>
              </w:rPr>
              <w:t>209.5</w:t>
            </w:r>
          </w:p>
        </w:tc>
        <w:tc>
          <w:tcPr>
            <w:tcW w:w="879" w:type="dxa"/>
            <w:vAlign w:val="center"/>
          </w:tcPr>
          <w:p w:rsidR="00A541D1" w:rsidRPr="00994A2B" w:rsidRDefault="00A541D1" w:rsidP="005C250A">
            <w:pPr>
              <w:jc w:val="right"/>
              <w:rPr>
                <w:sz w:val="18"/>
                <w:szCs w:val="18"/>
              </w:rPr>
            </w:pPr>
            <w:r w:rsidRPr="00994A2B">
              <w:rPr>
                <w:sz w:val="18"/>
                <w:szCs w:val="18"/>
              </w:rPr>
              <w:t>270.6</w:t>
            </w:r>
          </w:p>
        </w:tc>
        <w:tc>
          <w:tcPr>
            <w:tcW w:w="879" w:type="dxa"/>
            <w:vAlign w:val="center"/>
          </w:tcPr>
          <w:p w:rsidR="00A541D1" w:rsidRPr="00994A2B" w:rsidRDefault="00A541D1" w:rsidP="005C250A">
            <w:pPr>
              <w:jc w:val="right"/>
              <w:rPr>
                <w:sz w:val="18"/>
                <w:szCs w:val="18"/>
              </w:rPr>
            </w:pPr>
            <w:r w:rsidRPr="00994A2B">
              <w:rPr>
                <w:sz w:val="18"/>
                <w:szCs w:val="18"/>
              </w:rPr>
              <w:t>336.1</w:t>
            </w:r>
          </w:p>
        </w:tc>
        <w:tc>
          <w:tcPr>
            <w:tcW w:w="879" w:type="dxa"/>
            <w:vAlign w:val="center"/>
          </w:tcPr>
          <w:p w:rsidR="00A541D1" w:rsidRPr="00994A2B" w:rsidRDefault="00A541D1" w:rsidP="005C250A">
            <w:pPr>
              <w:jc w:val="right"/>
              <w:rPr>
                <w:sz w:val="18"/>
                <w:szCs w:val="18"/>
              </w:rPr>
            </w:pPr>
            <w:r w:rsidRPr="00994A2B">
              <w:rPr>
                <w:sz w:val="18"/>
                <w:szCs w:val="18"/>
              </w:rPr>
              <w:t>410.2</w:t>
            </w:r>
          </w:p>
        </w:tc>
        <w:tc>
          <w:tcPr>
            <w:tcW w:w="879" w:type="dxa"/>
            <w:vAlign w:val="center"/>
          </w:tcPr>
          <w:p w:rsidR="00A541D1" w:rsidRPr="00994A2B" w:rsidRDefault="00A541D1" w:rsidP="005C250A">
            <w:pPr>
              <w:jc w:val="right"/>
              <w:rPr>
                <w:sz w:val="18"/>
                <w:szCs w:val="18"/>
              </w:rPr>
            </w:pPr>
            <w:r w:rsidRPr="00994A2B">
              <w:rPr>
                <w:sz w:val="18"/>
                <w:szCs w:val="18"/>
              </w:rPr>
              <w:t>485.7</w:t>
            </w:r>
          </w:p>
        </w:tc>
      </w:tr>
      <w:tr w:rsidR="00AB4FFA" w:rsidRPr="00D869C0" w:rsidTr="00AB4FFA">
        <w:trPr>
          <w:trHeight w:hRule="exact" w:val="255"/>
        </w:trPr>
        <w:tc>
          <w:tcPr>
            <w:tcW w:w="1526" w:type="dxa"/>
            <w:hideMark/>
          </w:tcPr>
          <w:p w:rsidR="00AB4FFA" w:rsidRPr="008A01A3" w:rsidRDefault="00AB4FFA" w:rsidP="00AB4FFA">
            <w:pPr>
              <w:spacing w:after="0"/>
              <w:rPr>
                <w:rFonts w:cs="Calibri"/>
                <w:sz w:val="18"/>
                <w:szCs w:val="18"/>
              </w:rPr>
            </w:pPr>
            <w:r w:rsidRPr="008A01A3">
              <w:rPr>
                <w:rFonts w:cs="Calibri"/>
                <w:sz w:val="18"/>
                <w:szCs w:val="18"/>
              </w:rPr>
              <w:t>Colombia</w:t>
            </w:r>
          </w:p>
        </w:tc>
        <w:tc>
          <w:tcPr>
            <w:tcW w:w="878" w:type="dxa"/>
            <w:hideMark/>
          </w:tcPr>
          <w:p w:rsidR="00AB4FFA" w:rsidRPr="008A01A3" w:rsidRDefault="00AB4FFA" w:rsidP="00AB4FFA">
            <w:pPr>
              <w:spacing w:after="0"/>
              <w:jc w:val="right"/>
              <w:rPr>
                <w:rFonts w:cs="Calibri"/>
                <w:sz w:val="18"/>
                <w:szCs w:val="18"/>
              </w:rPr>
            </w:pPr>
            <w:r w:rsidRPr="008A01A3">
              <w:rPr>
                <w:rFonts w:cs="Calibri"/>
                <w:sz w:val="18"/>
                <w:szCs w:val="18"/>
              </w:rPr>
              <w:t>14.2</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18.7</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24.0</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30.5</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38.1</w:t>
            </w:r>
          </w:p>
        </w:tc>
      </w:tr>
      <w:tr w:rsidR="00AB4FFA" w:rsidRPr="00D869C0" w:rsidTr="00AB4FFA">
        <w:trPr>
          <w:trHeight w:hRule="exact" w:val="255"/>
        </w:trPr>
        <w:tc>
          <w:tcPr>
            <w:tcW w:w="1526" w:type="dxa"/>
            <w:hideMark/>
          </w:tcPr>
          <w:p w:rsidR="00AB4FFA" w:rsidRPr="008A01A3" w:rsidRDefault="00AB4FFA" w:rsidP="00AB4FFA">
            <w:pPr>
              <w:spacing w:after="0"/>
              <w:rPr>
                <w:rFonts w:cs="Calibri"/>
                <w:sz w:val="18"/>
                <w:szCs w:val="18"/>
              </w:rPr>
            </w:pPr>
            <w:r w:rsidRPr="008A01A3">
              <w:rPr>
                <w:rFonts w:cs="Calibri"/>
                <w:sz w:val="18"/>
                <w:szCs w:val="18"/>
              </w:rPr>
              <w:t>India</w:t>
            </w:r>
          </w:p>
        </w:tc>
        <w:tc>
          <w:tcPr>
            <w:tcW w:w="878" w:type="dxa"/>
            <w:hideMark/>
          </w:tcPr>
          <w:p w:rsidR="00AB4FFA" w:rsidRPr="008A01A3" w:rsidRDefault="00AB4FFA" w:rsidP="00AB4FFA">
            <w:pPr>
              <w:spacing w:after="0"/>
              <w:jc w:val="right"/>
              <w:rPr>
                <w:rFonts w:cs="Calibri"/>
                <w:sz w:val="18"/>
                <w:szCs w:val="18"/>
              </w:rPr>
            </w:pPr>
            <w:r w:rsidRPr="008A01A3">
              <w:rPr>
                <w:rFonts w:cs="Calibri"/>
                <w:sz w:val="18"/>
                <w:szCs w:val="18"/>
              </w:rPr>
              <w:t>81.5</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109.6</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145.2</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191.2</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249.2</w:t>
            </w:r>
          </w:p>
        </w:tc>
      </w:tr>
      <w:tr w:rsidR="00AB4FFA" w:rsidRPr="00D869C0" w:rsidTr="00AB4FFA">
        <w:trPr>
          <w:trHeight w:hRule="exact" w:val="255"/>
        </w:trPr>
        <w:tc>
          <w:tcPr>
            <w:tcW w:w="1526" w:type="dxa"/>
            <w:hideMark/>
          </w:tcPr>
          <w:p w:rsidR="00AB4FFA" w:rsidRPr="008A01A3" w:rsidRDefault="00AB4FFA" w:rsidP="00AB4FFA">
            <w:pPr>
              <w:spacing w:after="0"/>
              <w:rPr>
                <w:rFonts w:cs="Calibri"/>
                <w:sz w:val="18"/>
                <w:szCs w:val="18"/>
              </w:rPr>
            </w:pPr>
            <w:r w:rsidRPr="008A01A3">
              <w:rPr>
                <w:rFonts w:cs="Calibri"/>
                <w:sz w:val="18"/>
                <w:szCs w:val="18"/>
              </w:rPr>
              <w:t>Japan</w:t>
            </w:r>
          </w:p>
        </w:tc>
        <w:tc>
          <w:tcPr>
            <w:tcW w:w="878" w:type="dxa"/>
            <w:hideMark/>
          </w:tcPr>
          <w:p w:rsidR="00AB4FFA" w:rsidRPr="008A01A3" w:rsidRDefault="00AB4FFA" w:rsidP="00AB4FFA">
            <w:pPr>
              <w:spacing w:after="0"/>
              <w:jc w:val="right"/>
              <w:rPr>
                <w:rFonts w:cs="Calibri"/>
                <w:sz w:val="18"/>
                <w:szCs w:val="18"/>
              </w:rPr>
            </w:pPr>
            <w:r w:rsidRPr="008A01A3">
              <w:rPr>
                <w:rFonts w:cs="Calibri"/>
                <w:sz w:val="18"/>
                <w:szCs w:val="18"/>
              </w:rPr>
              <w:t>225.4</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237.7</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256.6</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275.4</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290.7</w:t>
            </w:r>
          </w:p>
        </w:tc>
      </w:tr>
      <w:tr w:rsidR="00AB4FFA" w:rsidRPr="00D869C0" w:rsidTr="00AB4FFA">
        <w:trPr>
          <w:trHeight w:hRule="exact" w:val="255"/>
        </w:trPr>
        <w:tc>
          <w:tcPr>
            <w:tcW w:w="1526" w:type="dxa"/>
            <w:hideMark/>
          </w:tcPr>
          <w:p w:rsidR="00AB4FFA" w:rsidRPr="008A01A3" w:rsidRDefault="00AB4FFA" w:rsidP="00AB4FFA">
            <w:pPr>
              <w:spacing w:after="0"/>
              <w:rPr>
                <w:rFonts w:cs="Calibri"/>
                <w:sz w:val="18"/>
                <w:szCs w:val="18"/>
              </w:rPr>
            </w:pPr>
            <w:r w:rsidRPr="008A01A3">
              <w:rPr>
                <w:rFonts w:cs="Calibri"/>
                <w:sz w:val="18"/>
                <w:szCs w:val="18"/>
              </w:rPr>
              <w:t>Mexico</w:t>
            </w:r>
          </w:p>
        </w:tc>
        <w:tc>
          <w:tcPr>
            <w:tcW w:w="878" w:type="dxa"/>
            <w:hideMark/>
          </w:tcPr>
          <w:p w:rsidR="00AB4FFA" w:rsidRPr="008A01A3" w:rsidRDefault="00AB4FFA" w:rsidP="00AB4FFA">
            <w:pPr>
              <w:spacing w:after="0"/>
              <w:jc w:val="right"/>
              <w:rPr>
                <w:rFonts w:cs="Calibri"/>
                <w:sz w:val="18"/>
                <w:szCs w:val="18"/>
              </w:rPr>
            </w:pPr>
            <w:r w:rsidRPr="008A01A3">
              <w:rPr>
                <w:rFonts w:cs="Calibri"/>
                <w:sz w:val="18"/>
                <w:szCs w:val="18"/>
              </w:rPr>
              <w:t>39.0</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51.2</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65.8</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82.7</w:t>
            </w:r>
          </w:p>
        </w:tc>
        <w:tc>
          <w:tcPr>
            <w:tcW w:w="879" w:type="dxa"/>
            <w:hideMark/>
          </w:tcPr>
          <w:p w:rsidR="00AB4FFA" w:rsidRPr="008A01A3" w:rsidRDefault="00AB4FFA" w:rsidP="00AB4FFA">
            <w:pPr>
              <w:spacing w:after="0"/>
              <w:jc w:val="right"/>
              <w:rPr>
                <w:rFonts w:cs="Calibri"/>
                <w:sz w:val="18"/>
                <w:szCs w:val="18"/>
              </w:rPr>
            </w:pPr>
            <w:r w:rsidRPr="008A01A3">
              <w:rPr>
                <w:rFonts w:cs="Calibri"/>
                <w:sz w:val="18"/>
                <w:szCs w:val="18"/>
              </w:rPr>
              <w:t>102.0</w:t>
            </w:r>
          </w:p>
        </w:tc>
      </w:tr>
      <w:tr w:rsidR="00A541D1" w:rsidRPr="00D869C0" w:rsidTr="005C250A">
        <w:trPr>
          <w:trHeight w:hRule="exact" w:val="255"/>
        </w:trPr>
        <w:tc>
          <w:tcPr>
            <w:tcW w:w="1526" w:type="dxa"/>
          </w:tcPr>
          <w:p w:rsidR="00A541D1" w:rsidRPr="008A01A3" w:rsidRDefault="00A541D1" w:rsidP="00AB4FFA">
            <w:pPr>
              <w:spacing w:after="0"/>
              <w:rPr>
                <w:rFonts w:cs="Calibri"/>
                <w:sz w:val="18"/>
                <w:szCs w:val="18"/>
              </w:rPr>
            </w:pPr>
            <w:r>
              <w:rPr>
                <w:rFonts w:cs="Calibri"/>
                <w:sz w:val="18"/>
                <w:szCs w:val="18"/>
              </w:rPr>
              <w:t>Peru</w:t>
            </w:r>
          </w:p>
        </w:tc>
        <w:tc>
          <w:tcPr>
            <w:tcW w:w="878" w:type="dxa"/>
            <w:vAlign w:val="center"/>
          </w:tcPr>
          <w:p w:rsidR="00A541D1" w:rsidRPr="00994A2B" w:rsidRDefault="00A541D1" w:rsidP="005C250A">
            <w:pPr>
              <w:jc w:val="right"/>
              <w:rPr>
                <w:sz w:val="18"/>
                <w:szCs w:val="18"/>
              </w:rPr>
            </w:pPr>
            <w:r w:rsidRPr="00994A2B">
              <w:rPr>
                <w:sz w:val="18"/>
                <w:szCs w:val="18"/>
              </w:rPr>
              <w:t>7.3</w:t>
            </w:r>
          </w:p>
        </w:tc>
        <w:tc>
          <w:tcPr>
            <w:tcW w:w="879" w:type="dxa"/>
            <w:vAlign w:val="center"/>
          </w:tcPr>
          <w:p w:rsidR="00A541D1" w:rsidRPr="00994A2B" w:rsidRDefault="00A541D1" w:rsidP="005C250A">
            <w:pPr>
              <w:jc w:val="right"/>
              <w:rPr>
                <w:sz w:val="18"/>
                <w:szCs w:val="18"/>
              </w:rPr>
            </w:pPr>
            <w:r w:rsidRPr="00994A2B">
              <w:rPr>
                <w:sz w:val="18"/>
                <w:szCs w:val="18"/>
              </w:rPr>
              <w:t>9.6</w:t>
            </w:r>
          </w:p>
        </w:tc>
        <w:tc>
          <w:tcPr>
            <w:tcW w:w="879" w:type="dxa"/>
            <w:vAlign w:val="center"/>
          </w:tcPr>
          <w:p w:rsidR="00A541D1" w:rsidRPr="00994A2B" w:rsidRDefault="00A541D1" w:rsidP="005C250A">
            <w:pPr>
              <w:jc w:val="right"/>
              <w:rPr>
                <w:sz w:val="18"/>
                <w:szCs w:val="18"/>
              </w:rPr>
            </w:pPr>
            <w:r w:rsidRPr="00994A2B">
              <w:rPr>
                <w:sz w:val="18"/>
                <w:szCs w:val="18"/>
              </w:rPr>
              <w:t>12.5</w:t>
            </w:r>
          </w:p>
        </w:tc>
        <w:tc>
          <w:tcPr>
            <w:tcW w:w="879" w:type="dxa"/>
            <w:vAlign w:val="center"/>
          </w:tcPr>
          <w:p w:rsidR="00A541D1" w:rsidRPr="00994A2B" w:rsidRDefault="00A541D1" w:rsidP="005C250A">
            <w:pPr>
              <w:jc w:val="right"/>
              <w:rPr>
                <w:sz w:val="18"/>
                <w:szCs w:val="18"/>
              </w:rPr>
            </w:pPr>
            <w:r w:rsidRPr="00994A2B">
              <w:rPr>
                <w:sz w:val="18"/>
                <w:szCs w:val="18"/>
              </w:rPr>
              <w:t>15.9</w:t>
            </w:r>
          </w:p>
        </w:tc>
        <w:tc>
          <w:tcPr>
            <w:tcW w:w="879" w:type="dxa"/>
            <w:vAlign w:val="center"/>
          </w:tcPr>
          <w:p w:rsidR="00A541D1" w:rsidRPr="00994A2B" w:rsidRDefault="00A541D1" w:rsidP="005C250A">
            <w:pPr>
              <w:jc w:val="right"/>
              <w:rPr>
                <w:sz w:val="18"/>
                <w:szCs w:val="18"/>
              </w:rPr>
            </w:pPr>
            <w:r w:rsidRPr="00994A2B">
              <w:rPr>
                <w:sz w:val="18"/>
                <w:szCs w:val="18"/>
              </w:rPr>
              <w:t>20.0</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Poland</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22.5</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27.6</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32.5</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38.5</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45.7</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South Africa</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18.2</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23.1</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28.9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35.9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44.7</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Turkey</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39.0</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52.4</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66.9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84.2</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103.7</w:t>
            </w:r>
          </w:p>
        </w:tc>
      </w:tr>
      <w:tr w:rsidR="00A541D1" w:rsidRPr="00D869C0" w:rsidTr="005C250A">
        <w:trPr>
          <w:trHeight w:hRule="exact" w:val="255"/>
        </w:trPr>
        <w:tc>
          <w:tcPr>
            <w:tcW w:w="1526" w:type="dxa"/>
          </w:tcPr>
          <w:p w:rsidR="00A541D1" w:rsidRPr="008A01A3" w:rsidRDefault="00A541D1" w:rsidP="00AB4FFA">
            <w:pPr>
              <w:spacing w:after="0"/>
              <w:rPr>
                <w:rFonts w:cs="Calibri"/>
                <w:sz w:val="18"/>
                <w:szCs w:val="18"/>
              </w:rPr>
            </w:pPr>
            <w:r>
              <w:rPr>
                <w:rFonts w:cs="Calibri"/>
                <w:sz w:val="18"/>
                <w:szCs w:val="18"/>
              </w:rPr>
              <w:t>USA</w:t>
            </w:r>
          </w:p>
        </w:tc>
        <w:tc>
          <w:tcPr>
            <w:tcW w:w="878" w:type="dxa"/>
            <w:vAlign w:val="center"/>
          </w:tcPr>
          <w:p w:rsidR="00A541D1" w:rsidRPr="00994A2B" w:rsidRDefault="00A541D1" w:rsidP="005C250A">
            <w:pPr>
              <w:jc w:val="right"/>
              <w:rPr>
                <w:sz w:val="18"/>
                <w:szCs w:val="18"/>
              </w:rPr>
            </w:pPr>
            <w:r w:rsidRPr="00994A2B">
              <w:rPr>
                <w:sz w:val="18"/>
                <w:szCs w:val="18"/>
              </w:rPr>
              <w:t>779.9</w:t>
            </w:r>
          </w:p>
        </w:tc>
        <w:tc>
          <w:tcPr>
            <w:tcW w:w="879" w:type="dxa"/>
            <w:vAlign w:val="center"/>
          </w:tcPr>
          <w:p w:rsidR="00A541D1" w:rsidRPr="00994A2B" w:rsidRDefault="00A541D1" w:rsidP="005C250A">
            <w:pPr>
              <w:jc w:val="right"/>
              <w:rPr>
                <w:sz w:val="18"/>
                <w:szCs w:val="18"/>
              </w:rPr>
            </w:pPr>
            <w:r w:rsidRPr="00994A2B">
              <w:rPr>
                <w:sz w:val="18"/>
                <w:szCs w:val="18"/>
              </w:rPr>
              <w:t>872.2</w:t>
            </w:r>
          </w:p>
        </w:tc>
        <w:tc>
          <w:tcPr>
            <w:tcW w:w="879" w:type="dxa"/>
            <w:vAlign w:val="center"/>
          </w:tcPr>
          <w:p w:rsidR="00A541D1" w:rsidRPr="00994A2B" w:rsidRDefault="00A541D1" w:rsidP="005C250A">
            <w:pPr>
              <w:jc w:val="right"/>
              <w:rPr>
                <w:sz w:val="18"/>
                <w:szCs w:val="18"/>
              </w:rPr>
            </w:pPr>
            <w:r w:rsidRPr="00994A2B">
              <w:rPr>
                <w:sz w:val="18"/>
                <w:szCs w:val="18"/>
              </w:rPr>
              <w:t>963.0</w:t>
            </w:r>
          </w:p>
        </w:tc>
        <w:tc>
          <w:tcPr>
            <w:tcW w:w="879" w:type="dxa"/>
            <w:vAlign w:val="center"/>
          </w:tcPr>
          <w:p w:rsidR="00A541D1" w:rsidRPr="00994A2B" w:rsidRDefault="00A541D1" w:rsidP="005C250A">
            <w:pPr>
              <w:jc w:val="right"/>
              <w:rPr>
                <w:sz w:val="18"/>
                <w:szCs w:val="18"/>
              </w:rPr>
            </w:pPr>
            <w:r w:rsidRPr="00994A2B">
              <w:rPr>
                <w:sz w:val="18"/>
                <w:szCs w:val="18"/>
              </w:rPr>
              <w:t>1051.5</w:t>
            </w:r>
          </w:p>
        </w:tc>
        <w:tc>
          <w:tcPr>
            <w:tcW w:w="879" w:type="dxa"/>
            <w:vAlign w:val="center"/>
          </w:tcPr>
          <w:p w:rsidR="00A541D1" w:rsidRPr="00994A2B" w:rsidRDefault="00A541D1" w:rsidP="005C250A">
            <w:pPr>
              <w:jc w:val="right"/>
              <w:rPr>
                <w:sz w:val="18"/>
                <w:szCs w:val="18"/>
              </w:rPr>
            </w:pPr>
            <w:r w:rsidRPr="00994A2B">
              <w:rPr>
                <w:sz w:val="18"/>
                <w:szCs w:val="18"/>
              </w:rPr>
              <w:t>1142.6</w:t>
            </w:r>
          </w:p>
        </w:tc>
      </w:tr>
      <w:tr w:rsidR="00A541D1" w:rsidRPr="00D869C0" w:rsidTr="00AB4FFA">
        <w:tc>
          <w:tcPr>
            <w:tcW w:w="1526" w:type="dxa"/>
            <w:shd w:val="clear" w:color="auto" w:fill="5B9BD5" w:themeFill="accent1"/>
            <w:hideMark/>
          </w:tcPr>
          <w:p w:rsidR="00A541D1" w:rsidRPr="00D869C0" w:rsidRDefault="00A541D1" w:rsidP="00AB4FFA">
            <w:pPr>
              <w:spacing w:after="0"/>
              <w:rPr>
                <w:rFonts w:eastAsia="Times New Roman" w:cs="Calibri"/>
                <w:color w:val="FFFFFF" w:themeColor="background1"/>
                <w:sz w:val="18"/>
                <w:szCs w:val="18"/>
                <w:lang w:eastAsia="en-AU"/>
              </w:rPr>
            </w:pPr>
          </w:p>
        </w:tc>
        <w:tc>
          <w:tcPr>
            <w:tcW w:w="4394" w:type="dxa"/>
            <w:gridSpan w:val="5"/>
            <w:shd w:val="clear" w:color="auto" w:fill="5B9BD5" w:themeFill="accent1"/>
            <w:hideMark/>
          </w:tcPr>
          <w:p w:rsidR="00A541D1" w:rsidRPr="004169A7" w:rsidRDefault="00A541D1" w:rsidP="002D6EA2">
            <w:pPr>
              <w:spacing w:after="0"/>
              <w:jc w:val="center"/>
              <w:textAlignment w:val="bottom"/>
              <w:rPr>
                <w:rFonts w:eastAsia="Times New Roman" w:cs="Calibri"/>
                <w:b/>
                <w:color w:val="FFFFFF" w:themeColor="background1"/>
                <w:sz w:val="18"/>
                <w:szCs w:val="18"/>
                <w:lang w:eastAsia="en-AU"/>
              </w:rPr>
            </w:pPr>
            <w:r w:rsidRPr="004169A7">
              <w:rPr>
                <w:rFonts w:eastAsia="Times New Roman" w:cs="Calibri"/>
                <w:b/>
                <w:color w:val="FFFFFF" w:themeColor="background1"/>
                <w:kern w:val="24"/>
                <w:sz w:val="18"/>
                <w:szCs w:val="18"/>
                <w:lang w:eastAsia="en-AU"/>
              </w:rPr>
              <w:t>(share of GDP</w:t>
            </w:r>
            <w:r w:rsidR="007A31E9">
              <w:rPr>
                <w:rFonts w:eastAsia="Times New Roman" w:cs="Calibri"/>
                <w:b/>
                <w:color w:val="FFFFFF" w:themeColor="background1"/>
                <w:kern w:val="24"/>
                <w:sz w:val="18"/>
                <w:szCs w:val="18"/>
                <w:lang w:eastAsia="en-AU"/>
              </w:rPr>
              <w:t>,</w:t>
            </w:r>
            <w:r w:rsidRPr="004169A7">
              <w:rPr>
                <w:rFonts w:eastAsia="Times New Roman" w:cs="Calibri"/>
                <w:b/>
                <w:color w:val="FFFFFF" w:themeColor="background1"/>
                <w:kern w:val="24"/>
                <w:sz w:val="18"/>
                <w:szCs w:val="18"/>
                <w:lang w:eastAsia="en-AU"/>
              </w:rPr>
              <w:t xml:space="preserve"> %)</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Brazil</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5.2</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5.4</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5.6</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5.7</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5.8</w:t>
            </w:r>
          </w:p>
        </w:tc>
      </w:tr>
      <w:tr w:rsidR="00A541D1" w:rsidRPr="00D869C0" w:rsidTr="005C250A">
        <w:trPr>
          <w:trHeight w:hRule="exact" w:val="255"/>
        </w:trPr>
        <w:tc>
          <w:tcPr>
            <w:tcW w:w="1526" w:type="dxa"/>
          </w:tcPr>
          <w:p w:rsidR="00A541D1" w:rsidRPr="008A01A3" w:rsidRDefault="00A541D1" w:rsidP="00AB4FFA">
            <w:pPr>
              <w:spacing w:after="0"/>
              <w:rPr>
                <w:rFonts w:cs="Calibri"/>
                <w:sz w:val="18"/>
                <w:szCs w:val="18"/>
              </w:rPr>
            </w:pPr>
            <w:r>
              <w:rPr>
                <w:rFonts w:cs="Calibri"/>
                <w:sz w:val="18"/>
                <w:szCs w:val="18"/>
              </w:rPr>
              <w:t>China</w:t>
            </w:r>
          </w:p>
        </w:tc>
        <w:tc>
          <w:tcPr>
            <w:tcW w:w="878" w:type="dxa"/>
            <w:vAlign w:val="center"/>
          </w:tcPr>
          <w:p w:rsidR="00A541D1" w:rsidRPr="00994A2B" w:rsidRDefault="00A541D1" w:rsidP="005C250A">
            <w:pPr>
              <w:jc w:val="right"/>
              <w:rPr>
                <w:sz w:val="18"/>
                <w:szCs w:val="18"/>
              </w:rPr>
            </w:pPr>
            <w:r w:rsidRPr="00994A2B">
              <w:rPr>
                <w:sz w:val="18"/>
                <w:szCs w:val="18"/>
              </w:rPr>
              <w:t>3.5</w:t>
            </w:r>
          </w:p>
        </w:tc>
        <w:tc>
          <w:tcPr>
            <w:tcW w:w="879" w:type="dxa"/>
            <w:vAlign w:val="center"/>
          </w:tcPr>
          <w:p w:rsidR="00A541D1" w:rsidRPr="00994A2B" w:rsidRDefault="00A541D1" w:rsidP="005C250A">
            <w:pPr>
              <w:jc w:val="right"/>
              <w:rPr>
                <w:sz w:val="18"/>
                <w:szCs w:val="18"/>
              </w:rPr>
            </w:pPr>
            <w:r w:rsidRPr="00994A2B">
              <w:rPr>
                <w:sz w:val="18"/>
                <w:szCs w:val="18"/>
              </w:rPr>
              <w:t>3.8</w:t>
            </w:r>
          </w:p>
        </w:tc>
        <w:tc>
          <w:tcPr>
            <w:tcW w:w="879" w:type="dxa"/>
            <w:vAlign w:val="center"/>
          </w:tcPr>
          <w:p w:rsidR="00A541D1" w:rsidRPr="00994A2B" w:rsidRDefault="00A541D1" w:rsidP="005C250A">
            <w:pPr>
              <w:jc w:val="right"/>
              <w:rPr>
                <w:sz w:val="18"/>
                <w:szCs w:val="18"/>
              </w:rPr>
            </w:pPr>
            <w:r w:rsidRPr="00994A2B">
              <w:rPr>
                <w:sz w:val="18"/>
                <w:szCs w:val="18"/>
              </w:rPr>
              <w:t>4.0</w:t>
            </w:r>
          </w:p>
        </w:tc>
        <w:tc>
          <w:tcPr>
            <w:tcW w:w="879" w:type="dxa"/>
            <w:vAlign w:val="center"/>
          </w:tcPr>
          <w:p w:rsidR="00A541D1" w:rsidRPr="00994A2B" w:rsidRDefault="00A541D1" w:rsidP="005C250A">
            <w:pPr>
              <w:jc w:val="right"/>
              <w:rPr>
                <w:sz w:val="18"/>
                <w:szCs w:val="18"/>
              </w:rPr>
            </w:pPr>
            <w:r w:rsidRPr="00994A2B">
              <w:rPr>
                <w:sz w:val="18"/>
                <w:szCs w:val="18"/>
              </w:rPr>
              <w:t>4.2</w:t>
            </w:r>
          </w:p>
        </w:tc>
        <w:tc>
          <w:tcPr>
            <w:tcW w:w="879" w:type="dxa"/>
            <w:vAlign w:val="center"/>
          </w:tcPr>
          <w:p w:rsidR="00A541D1" w:rsidRPr="00994A2B" w:rsidRDefault="00A541D1" w:rsidP="005C250A">
            <w:pPr>
              <w:jc w:val="right"/>
              <w:rPr>
                <w:sz w:val="18"/>
                <w:szCs w:val="18"/>
              </w:rPr>
            </w:pPr>
            <w:r w:rsidRPr="00994A2B">
              <w:rPr>
                <w:sz w:val="18"/>
                <w:szCs w:val="18"/>
              </w:rPr>
              <w:t>4.3</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Colombia</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4.9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5.1</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5.2</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5.3</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5.4</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India</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4.8</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4.8</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4.8</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5.0</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Japan</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4.1</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4.2</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4.4</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4.5</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4.6</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Mexico</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3.7</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3.8</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3.8</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3.9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3.9</w:t>
            </w:r>
          </w:p>
        </w:tc>
      </w:tr>
      <w:tr w:rsidR="00A541D1" w:rsidRPr="00D869C0" w:rsidTr="005C250A">
        <w:trPr>
          <w:trHeight w:hRule="exact" w:val="255"/>
        </w:trPr>
        <w:tc>
          <w:tcPr>
            <w:tcW w:w="1526" w:type="dxa"/>
          </w:tcPr>
          <w:p w:rsidR="00A541D1" w:rsidRPr="008A01A3" w:rsidRDefault="00A541D1" w:rsidP="00AB4FFA">
            <w:pPr>
              <w:spacing w:after="0"/>
              <w:rPr>
                <w:rFonts w:cs="Calibri"/>
                <w:sz w:val="18"/>
                <w:szCs w:val="18"/>
              </w:rPr>
            </w:pPr>
            <w:r>
              <w:rPr>
                <w:rFonts w:cs="Calibri"/>
                <w:sz w:val="18"/>
                <w:szCs w:val="18"/>
              </w:rPr>
              <w:t>Peru</w:t>
            </w:r>
          </w:p>
        </w:tc>
        <w:tc>
          <w:tcPr>
            <w:tcW w:w="878" w:type="dxa"/>
            <w:vAlign w:val="center"/>
          </w:tcPr>
          <w:p w:rsidR="00A541D1" w:rsidRPr="00994A2B" w:rsidRDefault="00A541D1" w:rsidP="005C250A">
            <w:pPr>
              <w:jc w:val="right"/>
              <w:rPr>
                <w:sz w:val="18"/>
                <w:szCs w:val="18"/>
              </w:rPr>
            </w:pPr>
            <w:r w:rsidRPr="00994A2B">
              <w:rPr>
                <w:sz w:val="18"/>
                <w:szCs w:val="18"/>
              </w:rPr>
              <w:t>4.9</w:t>
            </w:r>
          </w:p>
        </w:tc>
        <w:tc>
          <w:tcPr>
            <w:tcW w:w="879" w:type="dxa"/>
            <w:vAlign w:val="center"/>
          </w:tcPr>
          <w:p w:rsidR="00A541D1" w:rsidRPr="00994A2B" w:rsidRDefault="00A541D1" w:rsidP="005C250A">
            <w:pPr>
              <w:jc w:val="right"/>
              <w:rPr>
                <w:sz w:val="18"/>
                <w:szCs w:val="18"/>
              </w:rPr>
            </w:pPr>
            <w:r w:rsidRPr="00994A2B">
              <w:rPr>
                <w:sz w:val="18"/>
                <w:szCs w:val="18"/>
              </w:rPr>
              <w:t>5.1</w:t>
            </w:r>
          </w:p>
        </w:tc>
        <w:tc>
          <w:tcPr>
            <w:tcW w:w="879" w:type="dxa"/>
            <w:vAlign w:val="center"/>
          </w:tcPr>
          <w:p w:rsidR="00A541D1" w:rsidRPr="00994A2B" w:rsidRDefault="00A541D1" w:rsidP="005C250A">
            <w:pPr>
              <w:jc w:val="right"/>
              <w:rPr>
                <w:sz w:val="18"/>
                <w:szCs w:val="18"/>
              </w:rPr>
            </w:pPr>
            <w:r w:rsidRPr="00994A2B">
              <w:rPr>
                <w:sz w:val="18"/>
                <w:szCs w:val="18"/>
              </w:rPr>
              <w:t>5.2</w:t>
            </w:r>
          </w:p>
        </w:tc>
        <w:tc>
          <w:tcPr>
            <w:tcW w:w="879" w:type="dxa"/>
            <w:vAlign w:val="center"/>
          </w:tcPr>
          <w:p w:rsidR="00A541D1" w:rsidRPr="00994A2B" w:rsidRDefault="00A541D1" w:rsidP="005C250A">
            <w:pPr>
              <w:jc w:val="right"/>
              <w:rPr>
                <w:sz w:val="18"/>
                <w:szCs w:val="18"/>
              </w:rPr>
            </w:pPr>
            <w:r w:rsidRPr="00994A2B">
              <w:rPr>
                <w:sz w:val="18"/>
                <w:szCs w:val="18"/>
              </w:rPr>
              <w:t>5.3</w:t>
            </w:r>
          </w:p>
        </w:tc>
        <w:tc>
          <w:tcPr>
            <w:tcW w:w="879" w:type="dxa"/>
            <w:vAlign w:val="center"/>
          </w:tcPr>
          <w:p w:rsidR="00A541D1" w:rsidRPr="00994A2B" w:rsidRDefault="00A541D1" w:rsidP="005C250A">
            <w:pPr>
              <w:jc w:val="right"/>
              <w:rPr>
                <w:sz w:val="18"/>
                <w:szCs w:val="18"/>
              </w:rPr>
            </w:pPr>
            <w:r w:rsidRPr="00994A2B">
              <w:rPr>
                <w:sz w:val="18"/>
                <w:szCs w:val="18"/>
              </w:rPr>
              <w:t>5.4</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Poland</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4.7</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5.1</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5.3</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5.5</w:t>
            </w:r>
          </w:p>
        </w:tc>
      </w:tr>
      <w:tr w:rsidR="00A541D1" w:rsidRPr="00D869C0" w:rsidTr="00AB4FFA">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South Africa</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4.9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4.9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5.0</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5.1</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5.2</w:t>
            </w:r>
          </w:p>
        </w:tc>
      </w:tr>
      <w:tr w:rsidR="00A541D1" w:rsidRPr="00D869C0" w:rsidTr="001071FB">
        <w:trPr>
          <w:trHeight w:hRule="exact" w:val="255"/>
        </w:trPr>
        <w:tc>
          <w:tcPr>
            <w:tcW w:w="1526" w:type="dxa"/>
            <w:hideMark/>
          </w:tcPr>
          <w:p w:rsidR="00A541D1" w:rsidRPr="008A01A3" w:rsidRDefault="00A541D1" w:rsidP="00AB4FFA">
            <w:pPr>
              <w:spacing w:after="0"/>
              <w:rPr>
                <w:rFonts w:cs="Calibri"/>
                <w:sz w:val="18"/>
                <w:szCs w:val="18"/>
              </w:rPr>
            </w:pPr>
            <w:r w:rsidRPr="008A01A3">
              <w:rPr>
                <w:rFonts w:cs="Calibri"/>
                <w:sz w:val="18"/>
                <w:szCs w:val="18"/>
              </w:rPr>
              <w:t>Turkey</w:t>
            </w:r>
          </w:p>
        </w:tc>
        <w:tc>
          <w:tcPr>
            <w:tcW w:w="878" w:type="dxa"/>
            <w:hideMark/>
          </w:tcPr>
          <w:p w:rsidR="00A541D1" w:rsidRPr="008A01A3" w:rsidRDefault="00A541D1" w:rsidP="00AB4FFA">
            <w:pPr>
              <w:spacing w:after="0"/>
              <w:jc w:val="right"/>
              <w:rPr>
                <w:rFonts w:cs="Calibri"/>
                <w:sz w:val="18"/>
                <w:szCs w:val="18"/>
              </w:rPr>
            </w:pPr>
            <w:r w:rsidRPr="008A01A3">
              <w:rPr>
                <w:rFonts w:cs="Calibri"/>
                <w:sz w:val="18"/>
                <w:szCs w:val="18"/>
              </w:rPr>
              <w:t>5.3</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5.6</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5.8</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5.9</w:t>
            </w:r>
          </w:p>
        </w:tc>
        <w:tc>
          <w:tcPr>
            <w:tcW w:w="879" w:type="dxa"/>
            <w:hideMark/>
          </w:tcPr>
          <w:p w:rsidR="00A541D1" w:rsidRPr="008A01A3" w:rsidRDefault="00A541D1" w:rsidP="00AB4FFA">
            <w:pPr>
              <w:spacing w:after="0"/>
              <w:jc w:val="right"/>
              <w:rPr>
                <w:rFonts w:cs="Calibri"/>
                <w:sz w:val="18"/>
                <w:szCs w:val="18"/>
              </w:rPr>
            </w:pPr>
            <w:r w:rsidRPr="008A01A3">
              <w:rPr>
                <w:rFonts w:cs="Calibri"/>
                <w:sz w:val="18"/>
                <w:szCs w:val="18"/>
              </w:rPr>
              <w:t>6.0</w:t>
            </w:r>
          </w:p>
        </w:tc>
      </w:tr>
      <w:tr w:rsidR="00A541D1" w:rsidRPr="00D869C0" w:rsidTr="001071FB">
        <w:trPr>
          <w:trHeight w:hRule="exact" w:val="255"/>
        </w:trPr>
        <w:tc>
          <w:tcPr>
            <w:tcW w:w="1526" w:type="dxa"/>
            <w:tcBorders>
              <w:bottom w:val="single" w:sz="8" w:space="0" w:color="4F81BD"/>
            </w:tcBorders>
          </w:tcPr>
          <w:p w:rsidR="00A541D1" w:rsidRPr="008A01A3" w:rsidRDefault="00A541D1" w:rsidP="00AB4FFA">
            <w:pPr>
              <w:spacing w:after="0"/>
              <w:rPr>
                <w:rFonts w:cs="Calibri"/>
                <w:sz w:val="18"/>
                <w:szCs w:val="18"/>
              </w:rPr>
            </w:pPr>
            <w:r>
              <w:rPr>
                <w:rFonts w:cs="Calibri"/>
                <w:sz w:val="18"/>
                <w:szCs w:val="18"/>
              </w:rPr>
              <w:t>USA</w:t>
            </w:r>
          </w:p>
        </w:tc>
        <w:tc>
          <w:tcPr>
            <w:tcW w:w="878" w:type="dxa"/>
            <w:tcBorders>
              <w:bottom w:val="single" w:sz="8" w:space="0" w:color="4F81BD"/>
            </w:tcBorders>
            <w:vAlign w:val="center"/>
          </w:tcPr>
          <w:p w:rsidR="00A541D1" w:rsidRPr="00994A2B" w:rsidRDefault="00A541D1" w:rsidP="005C250A">
            <w:pPr>
              <w:jc w:val="right"/>
              <w:rPr>
                <w:sz w:val="18"/>
                <w:szCs w:val="18"/>
              </w:rPr>
            </w:pPr>
            <w:r w:rsidRPr="00994A2B">
              <w:rPr>
                <w:sz w:val="18"/>
                <w:szCs w:val="18"/>
              </w:rPr>
              <w:t>5.2</w:t>
            </w:r>
          </w:p>
        </w:tc>
        <w:tc>
          <w:tcPr>
            <w:tcW w:w="879" w:type="dxa"/>
            <w:tcBorders>
              <w:bottom w:val="single" w:sz="8" w:space="0" w:color="4F81BD"/>
            </w:tcBorders>
            <w:vAlign w:val="center"/>
          </w:tcPr>
          <w:p w:rsidR="00A541D1" w:rsidRPr="00994A2B" w:rsidRDefault="00A541D1" w:rsidP="005C250A">
            <w:pPr>
              <w:jc w:val="right"/>
              <w:rPr>
                <w:sz w:val="18"/>
                <w:szCs w:val="18"/>
              </w:rPr>
            </w:pPr>
            <w:r w:rsidRPr="00994A2B">
              <w:rPr>
                <w:sz w:val="18"/>
                <w:szCs w:val="18"/>
              </w:rPr>
              <w:t>5.4</w:t>
            </w:r>
          </w:p>
        </w:tc>
        <w:tc>
          <w:tcPr>
            <w:tcW w:w="879" w:type="dxa"/>
            <w:tcBorders>
              <w:bottom w:val="single" w:sz="8" w:space="0" w:color="4F81BD"/>
            </w:tcBorders>
            <w:vAlign w:val="center"/>
          </w:tcPr>
          <w:p w:rsidR="00A541D1" w:rsidRPr="00994A2B" w:rsidRDefault="00A541D1" w:rsidP="005C250A">
            <w:pPr>
              <w:jc w:val="right"/>
              <w:rPr>
                <w:sz w:val="18"/>
                <w:szCs w:val="18"/>
              </w:rPr>
            </w:pPr>
            <w:r w:rsidRPr="00994A2B">
              <w:rPr>
                <w:sz w:val="18"/>
                <w:szCs w:val="18"/>
              </w:rPr>
              <w:t>5.5</w:t>
            </w:r>
          </w:p>
        </w:tc>
        <w:tc>
          <w:tcPr>
            <w:tcW w:w="879" w:type="dxa"/>
            <w:tcBorders>
              <w:bottom w:val="single" w:sz="8" w:space="0" w:color="4F81BD"/>
            </w:tcBorders>
            <w:vAlign w:val="center"/>
          </w:tcPr>
          <w:p w:rsidR="00A541D1" w:rsidRPr="00994A2B" w:rsidRDefault="00A541D1" w:rsidP="005C250A">
            <w:pPr>
              <w:jc w:val="right"/>
              <w:rPr>
                <w:sz w:val="18"/>
                <w:szCs w:val="18"/>
              </w:rPr>
            </w:pPr>
            <w:r w:rsidRPr="00994A2B">
              <w:rPr>
                <w:sz w:val="18"/>
                <w:szCs w:val="18"/>
              </w:rPr>
              <w:t>5.5</w:t>
            </w:r>
          </w:p>
        </w:tc>
        <w:tc>
          <w:tcPr>
            <w:tcW w:w="879" w:type="dxa"/>
            <w:tcBorders>
              <w:bottom w:val="single" w:sz="8" w:space="0" w:color="4F81BD"/>
            </w:tcBorders>
            <w:vAlign w:val="center"/>
          </w:tcPr>
          <w:p w:rsidR="00A541D1" w:rsidRPr="00994A2B" w:rsidRDefault="00A541D1" w:rsidP="005C250A">
            <w:pPr>
              <w:jc w:val="right"/>
              <w:rPr>
                <w:sz w:val="18"/>
                <w:szCs w:val="18"/>
              </w:rPr>
            </w:pPr>
            <w:r w:rsidRPr="00994A2B">
              <w:rPr>
                <w:sz w:val="18"/>
                <w:szCs w:val="18"/>
              </w:rPr>
              <w:t>5.5</w:t>
            </w:r>
          </w:p>
        </w:tc>
      </w:tr>
    </w:tbl>
    <w:p w:rsidR="00AB4FFA" w:rsidRPr="004069CE" w:rsidRDefault="00AB4FFA" w:rsidP="00AB4FFA">
      <w:pPr>
        <w:rPr>
          <w:sz w:val="18"/>
          <w:szCs w:val="18"/>
        </w:rPr>
      </w:pPr>
      <w:r w:rsidRPr="004069CE">
        <w:rPr>
          <w:sz w:val="18"/>
          <w:szCs w:val="18"/>
        </w:rPr>
        <w:t xml:space="preserve">Source: VISES estimates. </w:t>
      </w:r>
    </w:p>
    <w:p w:rsidR="00AB4FFA" w:rsidRDefault="00AB4FFA" w:rsidP="00AB4FFA">
      <w:pPr>
        <w:pStyle w:val="Heading2"/>
        <w:rPr>
          <w:lang w:eastAsia="en-AU"/>
        </w:rPr>
      </w:pPr>
      <w:bookmarkStart w:id="15" w:name="_Toc432077555"/>
      <w:r>
        <w:rPr>
          <w:lang w:eastAsia="en-AU"/>
        </w:rPr>
        <w:t>Impact of Ill Health on the Ability to Work</w:t>
      </w:r>
      <w:bookmarkEnd w:id="15"/>
    </w:p>
    <w:p w:rsidR="00785603" w:rsidRDefault="00AB4FFA" w:rsidP="00AB4FFA">
      <w:pPr>
        <w:rPr>
          <w:lang w:eastAsia="en-AU"/>
        </w:rPr>
      </w:pPr>
      <w:r>
        <w:rPr>
          <w:lang w:eastAsia="en-AU"/>
        </w:rPr>
        <w:t xml:space="preserve">Ill health prevents some people from working, and others are restricted in the amount of work they can </w:t>
      </w:r>
      <w:r w:rsidR="001071FB">
        <w:rPr>
          <w:lang w:eastAsia="en-AU"/>
        </w:rPr>
        <w:t>undertake. In</w:t>
      </w:r>
      <w:r>
        <w:rPr>
          <w:lang w:eastAsia="en-AU"/>
        </w:rPr>
        <w:t xml:space="preserve"> developed countries, such as the US and Australia, there are well developed systems for both recognising the impact of ill health on the ability to work and providing income support commensurate with the level of disability. Most developing countries also have systems and processes for identifying and supporting those in need arising from ill health, but they are more restrictive than those available in the developing countries. </w:t>
      </w:r>
    </w:p>
    <w:p w:rsidR="00785603" w:rsidRDefault="00785603" w:rsidP="00AB4FFA">
      <w:pPr>
        <w:rPr>
          <w:lang w:eastAsia="en-AU"/>
        </w:rPr>
      </w:pPr>
      <w:r>
        <w:rPr>
          <w:lang w:eastAsia="en-AU"/>
        </w:rPr>
        <w:t xml:space="preserve">Rasmussen </w:t>
      </w:r>
      <w:r w:rsidR="002D6EA2">
        <w:rPr>
          <w:lang w:eastAsia="en-AU"/>
        </w:rPr>
        <w:t xml:space="preserve">et al. </w:t>
      </w:r>
      <w:r w:rsidRPr="002D6EA2">
        <w:rPr>
          <w:lang w:eastAsia="en-AU"/>
        </w:rPr>
        <w:t>(2015</w:t>
      </w:r>
      <w:r w:rsidR="007B4B71" w:rsidRPr="002D6EA2">
        <w:rPr>
          <w:lang w:eastAsia="en-AU"/>
        </w:rPr>
        <w:t>a</w:t>
      </w:r>
      <w:r w:rsidR="002D6EA2" w:rsidRPr="001071FB">
        <w:rPr>
          <w:lang w:eastAsia="en-AU"/>
        </w:rPr>
        <w:t xml:space="preserve"> and 2015</w:t>
      </w:r>
      <w:r w:rsidR="007B4B71" w:rsidRPr="002D6EA2">
        <w:rPr>
          <w:lang w:eastAsia="en-AU"/>
        </w:rPr>
        <w:t>b</w:t>
      </w:r>
      <w:r>
        <w:rPr>
          <w:lang w:eastAsia="en-AU"/>
        </w:rPr>
        <w:t xml:space="preserve">) provide a discussion of the different definitions </w:t>
      </w:r>
      <w:r w:rsidR="008E56DF">
        <w:rPr>
          <w:lang w:eastAsia="en-AU"/>
        </w:rPr>
        <w:t xml:space="preserve">of disability </w:t>
      </w:r>
      <w:r>
        <w:rPr>
          <w:lang w:eastAsia="en-AU"/>
        </w:rPr>
        <w:t xml:space="preserve">adopted by different countries and their impact on the estimated size of the disabled populations. Overall the </w:t>
      </w:r>
      <w:r w:rsidR="001071FB">
        <w:rPr>
          <w:lang w:eastAsia="en-AU"/>
        </w:rPr>
        <w:t>implications of these different definitions have</w:t>
      </w:r>
      <w:r>
        <w:rPr>
          <w:lang w:eastAsia="en-AU"/>
        </w:rPr>
        <w:t xml:space="preserve"> been to underreport the size of disabled </w:t>
      </w:r>
      <w:r w:rsidR="008E56DF">
        <w:rPr>
          <w:lang w:eastAsia="en-AU"/>
        </w:rPr>
        <w:t>populations</w:t>
      </w:r>
      <w:r>
        <w:rPr>
          <w:lang w:eastAsia="en-AU"/>
        </w:rPr>
        <w:t xml:space="preserve"> in many developing countries. The methodology adjusts for these </w:t>
      </w:r>
      <w:r w:rsidR="008E56DF">
        <w:rPr>
          <w:lang w:eastAsia="en-AU"/>
        </w:rPr>
        <w:t>differences</w:t>
      </w:r>
      <w:r>
        <w:rPr>
          <w:lang w:eastAsia="en-AU"/>
        </w:rPr>
        <w:t xml:space="preserve"> </w:t>
      </w:r>
      <w:r w:rsidR="008E56DF">
        <w:rPr>
          <w:lang w:eastAsia="en-AU"/>
        </w:rPr>
        <w:t>using the results of the Global Burden of Disease study referred to earlier in this report.</w:t>
      </w:r>
    </w:p>
    <w:p w:rsidR="00AB4FFA" w:rsidRDefault="00AB4FFA" w:rsidP="001071FB">
      <w:pPr>
        <w:pStyle w:val="Heading2"/>
        <w:spacing w:before="0" w:after="120"/>
      </w:pPr>
      <w:bookmarkStart w:id="16" w:name="_Toc432077557"/>
      <w:r>
        <w:t>The Economic Loss Due to Early Retirement</w:t>
      </w:r>
      <w:bookmarkEnd w:id="16"/>
      <w:r>
        <w:t xml:space="preserve"> </w:t>
      </w:r>
    </w:p>
    <w:p w:rsidR="00AB4FFA" w:rsidRDefault="00AB4FFA" w:rsidP="00AB4FFA">
      <w:r>
        <w:t xml:space="preserve">The best data we have about the behaviour of early retirees is from two surveys conducted in Australia, the Survey of </w:t>
      </w:r>
      <w:r w:rsidRPr="002859C3">
        <w:t>Disability, Ageing and Carers</w:t>
      </w:r>
      <w:r>
        <w:t xml:space="preserve"> (SDAC) and the </w:t>
      </w:r>
      <w:r w:rsidRPr="002859C3">
        <w:t>Retirement and Retirement Intentions</w:t>
      </w:r>
      <w:r>
        <w:t xml:space="preserve"> survey. The SDAC provides details about those with disability by age, their sources of income and extent of disability. From this we gain a lot of information about the prevalence of disability by degree of impairment by age. The </w:t>
      </w:r>
      <w:r w:rsidRPr="002859C3">
        <w:t>Retirement and Retirement Intentions</w:t>
      </w:r>
      <w:r>
        <w:t xml:space="preserve"> survey provides data by age about the reasons for retirement, including due to ill health. To the extent that we have been able to cross reference this against US data, the key parameters seem to be similar. In addition, we have obtained unpublished data about Australian disability pension recipients. </w:t>
      </w:r>
    </w:p>
    <w:p w:rsidR="00AB4FFA" w:rsidRDefault="00AB4FFA" w:rsidP="00AB4FFA">
      <w:r>
        <w:t>Our modelling assumes that the decision to retire due to ill health is based on the impact of the relative morbidity</w:t>
      </w:r>
      <w:r w:rsidRPr="003E024D">
        <w:t xml:space="preserve"> </w:t>
      </w:r>
      <w:r>
        <w:t>of the 50-64 age group, measured in DALYs, in each of the selected countries.</w:t>
      </w:r>
    </w:p>
    <w:p w:rsidR="00AB4FFA" w:rsidRDefault="00AB4FFA" w:rsidP="00AB4FFA">
      <w:r>
        <w:t xml:space="preserve">There is very little data from the relevant countries with the necessary detail to model economic loss, so we used parameters drawn from the Australian data, which we adjusted where we could to the circumstances of the particular selected </w:t>
      </w:r>
      <w:r w:rsidR="001071A0">
        <w:t>country</w:t>
      </w:r>
      <w:r>
        <w:t>. For instance</w:t>
      </w:r>
      <w:r w:rsidR="001071A0">
        <w:t>,</w:t>
      </w:r>
      <w:r>
        <w:t xml:space="preserve"> in arriving at the proportion of the population aged 50-64 who were disabled according to the international WHO/World Bank definition, we used the Australian proportion (</w:t>
      </w:r>
      <w:r w:rsidR="001071A0">
        <w:t xml:space="preserve">the </w:t>
      </w:r>
      <w:r>
        <w:t>US proportion was very similar) adjusted for country</w:t>
      </w:r>
      <w:r w:rsidR="001071A0">
        <w:t>-</w:t>
      </w:r>
      <w:r>
        <w:t>specific disease burden sourced from the Global Burden of Disease study. A proportion based on Australian experience of these was estimated to have retired.</w:t>
      </w:r>
    </w:p>
    <w:p w:rsidR="00AB4FFA" w:rsidRDefault="00AB4FFA" w:rsidP="00AB4FFA">
      <w:r>
        <w:t xml:space="preserve">In essence, the economic loss is equal to those in early retirement multiplied by the average GDP per worker for each of the selected countries. This is projected using the UN population projections for each </w:t>
      </w:r>
      <w:r w:rsidR="001071A0">
        <w:t>country</w:t>
      </w:r>
      <w:r>
        <w:t xml:space="preserve"> for those aged 50-64. The results are shown for 2015 through to 2030 in Figure </w:t>
      </w:r>
      <w:r w:rsidR="001071A0">
        <w:t>5</w:t>
      </w:r>
      <w:r w:rsidR="004C320E">
        <w:t xml:space="preserve"> and Table </w:t>
      </w:r>
      <w:r w:rsidR="00B962E1">
        <w:t>3</w:t>
      </w:r>
      <w:r>
        <w:t>. Given the complexity of the trends in risk factors, the age adjusted disease burden rate is assumed to be constant over the projection period.</w:t>
      </w:r>
    </w:p>
    <w:p w:rsidR="00AB4FFA" w:rsidRPr="00C66BFD" w:rsidRDefault="00AB4FFA" w:rsidP="00C66BFD">
      <w:pPr>
        <w:pStyle w:val="Figureheading"/>
      </w:pPr>
      <w:bookmarkStart w:id="17" w:name="_Toc432077587"/>
      <w:r w:rsidRPr="00C66BFD">
        <w:t xml:space="preserve">Figure </w:t>
      </w:r>
      <w:r w:rsidR="001071A0" w:rsidRPr="00C66BFD">
        <w:t xml:space="preserve">5 </w:t>
      </w:r>
      <w:r w:rsidRPr="00C66BFD">
        <w:t>Economic cost of early retirement, selected countries, 2015 and 2030</w:t>
      </w:r>
      <w:bookmarkEnd w:id="17"/>
    </w:p>
    <w:p w:rsidR="00AB4FFA" w:rsidRDefault="000A3C4F" w:rsidP="00E811A1">
      <w:pPr>
        <w:spacing w:after="0"/>
      </w:pPr>
      <w:r>
        <w:rPr>
          <w:noProof/>
          <w:lang w:val="en-US"/>
        </w:rPr>
        <w:drawing>
          <wp:inline distT="0" distB="0" distL="0" distR="0" wp14:anchorId="54C5E06D" wp14:editId="463F9295">
            <wp:extent cx="4438650" cy="25908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B4FFA" w:rsidRDefault="00AB4FFA" w:rsidP="00AB4FFA">
      <w:pPr>
        <w:rPr>
          <w:sz w:val="18"/>
          <w:szCs w:val="18"/>
        </w:rPr>
      </w:pPr>
      <w:r w:rsidRPr="00892DD6">
        <w:rPr>
          <w:sz w:val="18"/>
          <w:szCs w:val="18"/>
        </w:rPr>
        <w:t>Source: VISES estimates.</w:t>
      </w:r>
    </w:p>
    <w:p w:rsidR="00AB4FFA" w:rsidRDefault="00AB4FFA" w:rsidP="00AB4FFA">
      <w:r>
        <w:t>The projections are largely driven by the ageing process, in particular the proportion for each country in the 50-64 age group</w:t>
      </w:r>
      <w:r w:rsidR="000A3C4F" w:rsidRPr="000A3C4F">
        <w:t xml:space="preserve"> </w:t>
      </w:r>
      <w:r w:rsidR="000A3C4F">
        <w:t>and by the size of the burden of NCDs</w:t>
      </w:r>
      <w:r>
        <w:t>.</w:t>
      </w:r>
      <w:r w:rsidR="000A3C4F">
        <w:t xml:space="preserve"> This places Brazil </w:t>
      </w:r>
      <w:r w:rsidR="00314BBD">
        <w:t xml:space="preserve">above </w:t>
      </w:r>
      <w:r w:rsidR="00B962E1">
        <w:t xml:space="preserve">the </w:t>
      </w:r>
      <w:r w:rsidR="00314BBD">
        <w:t>average of the</w:t>
      </w:r>
      <w:r w:rsidR="00B962E1">
        <w:t xml:space="preserve"> comparator countries</w:t>
      </w:r>
      <w:r w:rsidR="001071A0">
        <w:t>,</w:t>
      </w:r>
      <w:r w:rsidR="000A3C4F">
        <w:t xml:space="preserve"> and with a loss larger than the other Latin American countries. In addition</w:t>
      </w:r>
      <w:r w:rsidR="00D87247">
        <w:t>,</w:t>
      </w:r>
      <w:r w:rsidR="000A3C4F">
        <w:t xml:space="preserve"> t</w:t>
      </w:r>
      <w:r w:rsidR="00D74895">
        <w:t>h</w:t>
      </w:r>
      <w:r w:rsidR="000A3C4F">
        <w:t xml:space="preserve">e </w:t>
      </w:r>
      <w:r w:rsidR="00D74895">
        <w:t>e</w:t>
      </w:r>
      <w:r w:rsidR="000A3C4F">
        <w:t>con</w:t>
      </w:r>
      <w:r w:rsidR="00D74895">
        <w:t>om</w:t>
      </w:r>
      <w:r w:rsidR="000A3C4F">
        <w:t xml:space="preserve">ic loss </w:t>
      </w:r>
      <w:r w:rsidR="00D74895">
        <w:t xml:space="preserve">for Brazil </w:t>
      </w:r>
      <w:r w:rsidR="000A3C4F">
        <w:t xml:space="preserve">increases at an above average rate </w:t>
      </w:r>
      <w:r w:rsidR="00B962E1">
        <w:t>from 2.4% in 2015 to 2.9% in</w:t>
      </w:r>
      <w:r w:rsidR="000A3C4F">
        <w:t xml:space="preserve"> 2030.</w:t>
      </w:r>
      <w:r>
        <w:t xml:space="preserve"> Poland, has the highest economic loss </w:t>
      </w:r>
      <w:r w:rsidR="00D74895">
        <w:t xml:space="preserve">in 2015 </w:t>
      </w:r>
      <w:r>
        <w:t xml:space="preserve">of any of the countries of almost 4% of GDP. As has been noted, Poland has an above average disease burden and a high proportion of its </w:t>
      </w:r>
      <w:r w:rsidR="00B962E1">
        <w:t>work force</w:t>
      </w:r>
      <w:r>
        <w:t xml:space="preserve"> in the 50-64 age group.</w:t>
      </w:r>
    </w:p>
    <w:p w:rsidR="00AB4FFA" w:rsidRDefault="00AB4FFA" w:rsidP="00382C99">
      <w:pPr>
        <w:pStyle w:val="Figureheading"/>
      </w:pPr>
      <w:bookmarkStart w:id="18" w:name="_Toc432077567"/>
      <w:r>
        <w:t xml:space="preserve">Table </w:t>
      </w:r>
      <w:r w:rsidR="00B962E1">
        <w:t>3</w:t>
      </w:r>
      <w:r w:rsidR="004C320E">
        <w:t xml:space="preserve"> </w:t>
      </w:r>
      <w:r>
        <w:t>Economic cost of early retirement, selected countries, 2015 and 2030</w:t>
      </w:r>
      <w:bookmarkEnd w:id="18"/>
    </w:p>
    <w:tbl>
      <w:tblPr>
        <w:tblW w:w="6345" w:type="dxa"/>
        <w:tblLayout w:type="fixed"/>
        <w:tblLook w:val="04A0" w:firstRow="1" w:lastRow="0" w:firstColumn="1" w:lastColumn="0" w:noHBand="0" w:noVBand="1"/>
      </w:tblPr>
      <w:tblGrid>
        <w:gridCol w:w="1668"/>
        <w:gridCol w:w="1169"/>
        <w:gridCol w:w="1169"/>
        <w:gridCol w:w="1169"/>
        <w:gridCol w:w="1170"/>
      </w:tblGrid>
      <w:tr w:rsidR="00D87247" w:rsidRPr="00D87247" w:rsidTr="001071FB">
        <w:trPr>
          <w:trHeight w:val="300"/>
        </w:trPr>
        <w:tc>
          <w:tcPr>
            <w:tcW w:w="1668" w:type="dxa"/>
            <w:tcBorders>
              <w:top w:val="nil"/>
              <w:left w:val="nil"/>
              <w:bottom w:val="nil"/>
              <w:right w:val="nil"/>
            </w:tcBorders>
            <w:shd w:val="clear" w:color="auto" w:fill="5B9BD5" w:themeFill="accent1"/>
            <w:noWrap/>
            <w:vAlign w:val="center"/>
            <w:hideMark/>
          </w:tcPr>
          <w:p w:rsidR="00D74895" w:rsidRPr="001071FB" w:rsidRDefault="00D74895" w:rsidP="00D74895">
            <w:pPr>
              <w:spacing w:after="0" w:line="240" w:lineRule="auto"/>
              <w:rPr>
                <w:rFonts w:asciiTheme="minorHAnsi" w:eastAsia="Times New Roman" w:hAnsiTheme="minorHAnsi" w:cstheme="minorHAnsi"/>
                <w:b/>
                <w:color w:val="FFFFFF" w:themeColor="background1"/>
                <w:sz w:val="18"/>
                <w:szCs w:val="18"/>
                <w:lang w:eastAsia="en-AU"/>
              </w:rPr>
            </w:pPr>
          </w:p>
        </w:tc>
        <w:tc>
          <w:tcPr>
            <w:tcW w:w="1169" w:type="dxa"/>
            <w:tcBorders>
              <w:top w:val="nil"/>
              <w:left w:val="nil"/>
              <w:bottom w:val="nil"/>
              <w:right w:val="nil"/>
            </w:tcBorders>
            <w:shd w:val="clear" w:color="auto" w:fill="5B9BD5" w:themeFill="accent1"/>
            <w:noWrap/>
            <w:vAlign w:val="center"/>
            <w:hideMark/>
          </w:tcPr>
          <w:p w:rsidR="00D74895" w:rsidRPr="001071FB" w:rsidRDefault="00D74895" w:rsidP="00D74895">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2015</w:t>
            </w:r>
          </w:p>
        </w:tc>
        <w:tc>
          <w:tcPr>
            <w:tcW w:w="1169" w:type="dxa"/>
            <w:tcBorders>
              <w:top w:val="nil"/>
              <w:left w:val="nil"/>
              <w:bottom w:val="nil"/>
              <w:right w:val="nil"/>
            </w:tcBorders>
            <w:shd w:val="clear" w:color="auto" w:fill="5B9BD5" w:themeFill="accent1"/>
            <w:noWrap/>
            <w:vAlign w:val="center"/>
            <w:hideMark/>
          </w:tcPr>
          <w:p w:rsidR="00D74895" w:rsidRPr="001071FB" w:rsidRDefault="00D74895" w:rsidP="00D74895">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2020</w:t>
            </w:r>
          </w:p>
        </w:tc>
        <w:tc>
          <w:tcPr>
            <w:tcW w:w="1169" w:type="dxa"/>
            <w:tcBorders>
              <w:top w:val="nil"/>
              <w:left w:val="nil"/>
              <w:bottom w:val="nil"/>
              <w:right w:val="nil"/>
            </w:tcBorders>
            <w:shd w:val="clear" w:color="auto" w:fill="5B9BD5" w:themeFill="accent1"/>
            <w:noWrap/>
            <w:vAlign w:val="center"/>
            <w:hideMark/>
          </w:tcPr>
          <w:p w:rsidR="00D74895" w:rsidRPr="001071FB" w:rsidRDefault="00D74895" w:rsidP="00D74895">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2025</w:t>
            </w:r>
          </w:p>
        </w:tc>
        <w:tc>
          <w:tcPr>
            <w:tcW w:w="1170" w:type="dxa"/>
            <w:tcBorders>
              <w:top w:val="nil"/>
              <w:left w:val="nil"/>
              <w:bottom w:val="nil"/>
              <w:right w:val="nil"/>
            </w:tcBorders>
            <w:shd w:val="clear" w:color="auto" w:fill="5B9BD5" w:themeFill="accent1"/>
            <w:noWrap/>
            <w:vAlign w:val="center"/>
            <w:hideMark/>
          </w:tcPr>
          <w:p w:rsidR="00D74895" w:rsidRPr="001071FB" w:rsidRDefault="00D74895" w:rsidP="00D74895">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2030</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Brazil</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2.6%</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2.7%</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China</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2.2%</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2.5%</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Colombia</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2.6%</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2.6%</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2.7%</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India</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3.2%</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3.3%</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Japan</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3.1%</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3.4%</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3.6%</w:t>
            </w:r>
          </w:p>
        </w:tc>
      </w:tr>
      <w:tr w:rsidR="00D74895" w:rsidRPr="00D87247" w:rsidTr="001071FB">
        <w:trPr>
          <w:trHeight w:val="345"/>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Mexico</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2.0%</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2.2%</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2.6%</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Peru</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1.9%</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2.1%</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2.2%</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Poland</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3.9%</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3.7%</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3.6%</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4.0%</w:t>
            </w:r>
          </w:p>
        </w:tc>
      </w:tr>
      <w:tr w:rsidR="00D74895" w:rsidRPr="00D87247" w:rsidTr="001071FB">
        <w:trPr>
          <w:trHeight w:val="300"/>
        </w:trPr>
        <w:tc>
          <w:tcPr>
            <w:tcW w:w="1668"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South Africa</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1169"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c>
          <w:tcPr>
            <w:tcW w:w="1170" w:type="dxa"/>
            <w:tcBorders>
              <w:top w:val="nil"/>
              <w:left w:val="nil"/>
              <w:bottom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r>
      <w:tr w:rsidR="00D74895" w:rsidRPr="00D87247" w:rsidTr="001071FB">
        <w:trPr>
          <w:trHeight w:val="300"/>
        </w:trPr>
        <w:tc>
          <w:tcPr>
            <w:tcW w:w="1668" w:type="dxa"/>
            <w:tcBorders>
              <w:top w:val="nil"/>
              <w:left w:val="nil"/>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Turkey</w:t>
            </w:r>
          </w:p>
        </w:tc>
        <w:tc>
          <w:tcPr>
            <w:tcW w:w="1169" w:type="dxa"/>
            <w:tcBorders>
              <w:top w:val="nil"/>
              <w:left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3.3%</w:t>
            </w:r>
          </w:p>
        </w:tc>
        <w:tc>
          <w:tcPr>
            <w:tcW w:w="1169" w:type="dxa"/>
            <w:tcBorders>
              <w:top w:val="nil"/>
              <w:left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3.5%</w:t>
            </w:r>
          </w:p>
        </w:tc>
        <w:tc>
          <w:tcPr>
            <w:tcW w:w="1169" w:type="dxa"/>
            <w:tcBorders>
              <w:top w:val="nil"/>
              <w:left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3.8%</w:t>
            </w:r>
          </w:p>
        </w:tc>
        <w:tc>
          <w:tcPr>
            <w:tcW w:w="1170" w:type="dxa"/>
            <w:tcBorders>
              <w:top w:val="nil"/>
              <w:left w:val="nil"/>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4.2%</w:t>
            </w:r>
          </w:p>
        </w:tc>
      </w:tr>
      <w:tr w:rsidR="00D74895" w:rsidRPr="00D87247" w:rsidTr="001071FB">
        <w:trPr>
          <w:trHeight w:val="300"/>
        </w:trPr>
        <w:tc>
          <w:tcPr>
            <w:tcW w:w="1668" w:type="dxa"/>
            <w:tcBorders>
              <w:top w:val="nil"/>
              <w:left w:val="nil"/>
              <w:bottom w:val="single" w:sz="8" w:space="0" w:color="4F81BD"/>
              <w:right w:val="nil"/>
            </w:tcBorders>
            <w:shd w:val="clear" w:color="auto" w:fill="auto"/>
            <w:noWrap/>
            <w:vAlign w:val="center"/>
            <w:hideMark/>
          </w:tcPr>
          <w:p w:rsidR="00D74895" w:rsidRPr="001071FB" w:rsidRDefault="00D74895" w:rsidP="00D74895">
            <w:pPr>
              <w:spacing w:after="0" w:line="240" w:lineRule="auto"/>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United States</w:t>
            </w:r>
          </w:p>
        </w:tc>
        <w:tc>
          <w:tcPr>
            <w:tcW w:w="1169" w:type="dxa"/>
            <w:tcBorders>
              <w:top w:val="nil"/>
              <w:left w:val="nil"/>
              <w:bottom w:val="single" w:sz="8" w:space="0" w:color="4F81BD"/>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3.2%</w:t>
            </w:r>
          </w:p>
        </w:tc>
        <w:tc>
          <w:tcPr>
            <w:tcW w:w="1169" w:type="dxa"/>
            <w:tcBorders>
              <w:top w:val="nil"/>
              <w:left w:val="nil"/>
              <w:bottom w:val="single" w:sz="8" w:space="0" w:color="4F81BD"/>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3.2%</w:t>
            </w:r>
          </w:p>
        </w:tc>
        <w:tc>
          <w:tcPr>
            <w:tcW w:w="1169" w:type="dxa"/>
            <w:tcBorders>
              <w:top w:val="nil"/>
              <w:left w:val="nil"/>
              <w:bottom w:val="single" w:sz="8" w:space="0" w:color="4F81BD"/>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1170" w:type="dxa"/>
            <w:tcBorders>
              <w:top w:val="nil"/>
              <w:left w:val="nil"/>
              <w:bottom w:val="single" w:sz="8" w:space="0" w:color="4F81BD"/>
              <w:right w:val="nil"/>
            </w:tcBorders>
            <w:shd w:val="clear" w:color="auto" w:fill="auto"/>
            <w:noWrap/>
            <w:vAlign w:val="center"/>
            <w:hideMark/>
          </w:tcPr>
          <w:p w:rsidR="00D74895" w:rsidRPr="001071FB" w:rsidRDefault="00D74895" w:rsidP="00D74895">
            <w:pPr>
              <w:spacing w:after="0" w:line="240" w:lineRule="auto"/>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r>
    </w:tbl>
    <w:p w:rsidR="00AB4FFA" w:rsidRPr="00892DD6" w:rsidRDefault="00D87247" w:rsidP="00AB4FFA">
      <w:pPr>
        <w:rPr>
          <w:sz w:val="18"/>
          <w:szCs w:val="18"/>
        </w:rPr>
      </w:pPr>
      <w:r>
        <w:rPr>
          <w:sz w:val="18"/>
          <w:szCs w:val="18"/>
        </w:rPr>
        <w:t>Source: VISES estimates.</w:t>
      </w:r>
    </w:p>
    <w:p w:rsidR="00AB4FFA" w:rsidRDefault="00AB4FFA" w:rsidP="00AB4FFA">
      <w:pPr>
        <w:pStyle w:val="Heading2"/>
      </w:pPr>
      <w:bookmarkStart w:id="19" w:name="_Toc432077558"/>
      <w:r>
        <w:t>Conclusions from the Analysis</w:t>
      </w:r>
      <w:bookmarkEnd w:id="19"/>
    </w:p>
    <w:p w:rsidR="00AB4FFA" w:rsidRDefault="00AB4FFA" w:rsidP="00AB4FFA">
      <w:r>
        <w:t xml:space="preserve">The high level of burden of disease arising from NCDs indicates that for most of the developing </w:t>
      </w:r>
      <w:r>
        <w:rPr>
          <w:lang w:eastAsia="en-AU"/>
        </w:rPr>
        <w:t xml:space="preserve">countries </w:t>
      </w:r>
      <w:r>
        <w:t xml:space="preserve">included in this study, chronic disease is at least as great a health problem for these </w:t>
      </w:r>
      <w:r>
        <w:rPr>
          <w:lang w:eastAsia="en-AU"/>
        </w:rPr>
        <w:t xml:space="preserve">countries </w:t>
      </w:r>
      <w:r>
        <w:t xml:space="preserve">as for the developed </w:t>
      </w:r>
      <w:r>
        <w:rPr>
          <w:lang w:eastAsia="en-AU"/>
        </w:rPr>
        <w:t>countries</w:t>
      </w:r>
      <w:r>
        <w:t>, such as the US, where these conditions are longstanding and their acknowledged importance has led to the development of intervention programs.</w:t>
      </w:r>
    </w:p>
    <w:p w:rsidR="00AB4FFA" w:rsidRDefault="00AB4FFA" w:rsidP="00AB4FFA">
      <w:r>
        <w:t xml:space="preserve">While a number of risk factors are in decline in some </w:t>
      </w:r>
      <w:r>
        <w:rPr>
          <w:lang w:eastAsia="en-AU"/>
        </w:rPr>
        <w:t>countries</w:t>
      </w:r>
      <w:r>
        <w:t xml:space="preserve">, they are on the rise in others. For instance, the decline in smoking rates has stalled in a number of developing </w:t>
      </w:r>
      <w:r>
        <w:rPr>
          <w:lang w:eastAsia="en-AU"/>
        </w:rPr>
        <w:t>countries</w:t>
      </w:r>
      <w:r>
        <w:t xml:space="preserve">. Obesity rates are increasing for all </w:t>
      </w:r>
      <w:r>
        <w:rPr>
          <w:lang w:eastAsia="en-AU"/>
        </w:rPr>
        <w:t>countries</w:t>
      </w:r>
      <w:r w:rsidR="008C426D">
        <w:t>.</w:t>
      </w:r>
      <w:r>
        <w:t xml:space="preserve"> </w:t>
      </w:r>
      <w:r w:rsidR="008C426D">
        <w:t>Blood pressure is high in Brazil.</w:t>
      </w:r>
    </w:p>
    <w:p w:rsidR="00AB4FFA" w:rsidRDefault="008C426D" w:rsidP="00AB4FFA">
      <w:r>
        <w:t>It</w:t>
      </w:r>
      <w:r w:rsidR="00AB4FFA">
        <w:t xml:space="preserve"> is clear that with time most of the developing and middle income countries will have an increasing proportion of their workforce </w:t>
      </w:r>
      <w:r w:rsidR="00D74895">
        <w:t>entering</w:t>
      </w:r>
      <w:r w:rsidR="00AB4FFA">
        <w:t xml:space="preserve"> the older age groups </w:t>
      </w:r>
      <w:r w:rsidR="00D74895">
        <w:t>where the burden of NCDs is much higher</w:t>
      </w:r>
      <w:r w:rsidR="00AB4FFA">
        <w:t xml:space="preserve">. Without greater attention to improved health behaviours, the work forces of these </w:t>
      </w:r>
      <w:r w:rsidR="00AB4FFA">
        <w:rPr>
          <w:lang w:eastAsia="en-AU"/>
        </w:rPr>
        <w:t xml:space="preserve">countries </w:t>
      </w:r>
      <w:r w:rsidR="00AB4FFA">
        <w:t xml:space="preserve">will become less healthy and more subject to absenteeism, presenteeism and early retirement.  </w:t>
      </w:r>
    </w:p>
    <w:p w:rsidR="00AB4FFA" w:rsidRDefault="00FE28C3" w:rsidP="00AB4FFA">
      <w:r>
        <w:t xml:space="preserve">Overall </w:t>
      </w:r>
      <w:r w:rsidR="00D87247">
        <w:t xml:space="preserve">modelling </w:t>
      </w:r>
      <w:r w:rsidR="00AB4FFA">
        <w:t xml:space="preserve">undertaken for this study </w:t>
      </w:r>
      <w:r w:rsidR="00584670">
        <w:t>(summarised in Table4 )</w:t>
      </w:r>
      <w:r w:rsidR="00AB4FFA">
        <w:t xml:space="preserve">has indicated that the economic costs of </w:t>
      </w:r>
      <w:r>
        <w:t xml:space="preserve">absenteeism and presenteeism range from 4-6% of GDP by 2030 and 3-4% of GDP </w:t>
      </w:r>
      <w:r w:rsidR="00AB6AA9">
        <w:t>for early</w:t>
      </w:r>
      <w:r w:rsidR="00AB4FFA">
        <w:t xml:space="preserve"> retirement due to ill health</w:t>
      </w:r>
      <w:r w:rsidR="00D87247">
        <w:t>,</w:t>
      </w:r>
      <w:r w:rsidR="00AB4FFA">
        <w:t xml:space="preserve"> </w:t>
      </w:r>
      <w:r>
        <w:t xml:space="preserve">taking productivity impact to </w:t>
      </w:r>
      <w:r w:rsidR="00113171">
        <w:t>7-10 % of GDP.</w:t>
      </w:r>
      <w:r w:rsidR="008C426D">
        <w:t xml:space="preserve"> Brazil is a</w:t>
      </w:r>
      <w:r w:rsidR="00B962E1">
        <w:t>t</w:t>
      </w:r>
      <w:r w:rsidR="008C426D">
        <w:t xml:space="preserve"> the upper end of this range. This is largely due to the relatively elevated disease burden for a range of NCDs which </w:t>
      </w:r>
      <w:r w:rsidR="00D90FC1">
        <w:t>include</w:t>
      </w:r>
      <w:r w:rsidR="00B962E1">
        <w:t xml:space="preserve">, </w:t>
      </w:r>
      <w:r w:rsidR="00B962E1">
        <w:rPr>
          <w:lang w:eastAsia="en-AU"/>
        </w:rPr>
        <w:t>cardio vascular disease, mental illness, muscular skeletal and neurological conditions.</w:t>
      </w:r>
    </w:p>
    <w:p w:rsidR="00C67872" w:rsidRPr="001071FB" w:rsidRDefault="00C67872" w:rsidP="001071FB">
      <w:pPr>
        <w:spacing w:after="0"/>
        <w:rPr>
          <w:b/>
          <w:sz w:val="20"/>
          <w:szCs w:val="20"/>
        </w:rPr>
      </w:pPr>
      <w:r w:rsidRPr="001071FB">
        <w:rPr>
          <w:b/>
          <w:sz w:val="20"/>
          <w:szCs w:val="20"/>
        </w:rPr>
        <w:t xml:space="preserve">Table </w:t>
      </w:r>
      <w:r w:rsidR="00382C99">
        <w:rPr>
          <w:b/>
          <w:sz w:val="20"/>
          <w:szCs w:val="20"/>
        </w:rPr>
        <w:t>4</w:t>
      </w:r>
      <w:r w:rsidR="00D87247" w:rsidRPr="001071FB">
        <w:rPr>
          <w:b/>
          <w:sz w:val="20"/>
          <w:szCs w:val="20"/>
        </w:rPr>
        <w:t xml:space="preserve"> </w:t>
      </w:r>
      <w:r w:rsidRPr="001071FB">
        <w:rPr>
          <w:b/>
          <w:sz w:val="20"/>
          <w:szCs w:val="20"/>
        </w:rPr>
        <w:t>Total Economic impact of absenteeism, presenteeism and early retirement</w:t>
      </w:r>
    </w:p>
    <w:tbl>
      <w:tblPr>
        <w:tblW w:w="8505" w:type="dxa"/>
        <w:tblLook w:val="04A0" w:firstRow="1" w:lastRow="0" w:firstColumn="1" w:lastColumn="0" w:noHBand="0" w:noVBand="1"/>
      </w:tblPr>
      <w:tblGrid>
        <w:gridCol w:w="1242"/>
        <w:gridCol w:w="1418"/>
        <w:gridCol w:w="1276"/>
        <w:gridCol w:w="799"/>
        <w:gridCol w:w="1489"/>
        <w:gridCol w:w="1398"/>
        <w:gridCol w:w="883"/>
      </w:tblGrid>
      <w:tr w:rsidR="00C66BFD" w:rsidRPr="00C66BFD" w:rsidTr="001071FB">
        <w:tc>
          <w:tcPr>
            <w:tcW w:w="1242" w:type="dxa"/>
            <w:tcBorders>
              <w:top w:val="nil"/>
              <w:left w:val="nil"/>
              <w:bottom w:val="nil"/>
              <w:right w:val="single" w:sz="8" w:space="0" w:color="4F81BD"/>
            </w:tcBorders>
            <w:shd w:val="clear" w:color="auto" w:fill="5B9BD5" w:themeFill="accent1"/>
            <w:noWrap/>
            <w:vAlign w:val="center"/>
            <w:hideMark/>
          </w:tcPr>
          <w:p w:rsidR="00C66BFD" w:rsidRPr="001071FB" w:rsidRDefault="00C66BFD" w:rsidP="001071FB">
            <w:pPr>
              <w:spacing w:after="0"/>
              <w:rPr>
                <w:rFonts w:asciiTheme="minorHAnsi" w:eastAsia="Times New Roman" w:hAnsiTheme="minorHAnsi" w:cstheme="minorHAnsi"/>
                <w:b/>
                <w:color w:val="FFFFFF" w:themeColor="background1"/>
                <w:sz w:val="18"/>
                <w:szCs w:val="18"/>
                <w:lang w:eastAsia="en-AU"/>
              </w:rPr>
            </w:pPr>
          </w:p>
        </w:tc>
        <w:tc>
          <w:tcPr>
            <w:tcW w:w="3493" w:type="dxa"/>
            <w:gridSpan w:val="3"/>
            <w:tcBorders>
              <w:top w:val="nil"/>
              <w:left w:val="single" w:sz="8" w:space="0" w:color="4F81BD"/>
              <w:bottom w:val="nil"/>
              <w:right w:val="single" w:sz="8" w:space="0" w:color="4F81BD"/>
            </w:tcBorders>
            <w:shd w:val="clear" w:color="auto" w:fill="5B9BD5" w:themeFill="accent1"/>
            <w:noWrap/>
            <w:vAlign w:val="center"/>
            <w:hideMark/>
          </w:tcPr>
          <w:p w:rsidR="00C66BFD" w:rsidRPr="001071FB" w:rsidRDefault="00C66BFD" w:rsidP="001071FB">
            <w:pPr>
              <w:spacing w:after="0"/>
              <w:jc w:val="center"/>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201</w:t>
            </w:r>
            <w:r>
              <w:rPr>
                <w:rFonts w:asciiTheme="minorHAnsi" w:eastAsia="Times New Roman" w:hAnsiTheme="minorHAnsi" w:cstheme="minorHAnsi"/>
                <w:b/>
                <w:color w:val="FFFFFF" w:themeColor="background1"/>
                <w:sz w:val="18"/>
                <w:szCs w:val="18"/>
                <w:lang w:eastAsia="en-AU"/>
              </w:rPr>
              <w:t>5</w:t>
            </w:r>
          </w:p>
        </w:tc>
        <w:tc>
          <w:tcPr>
            <w:tcW w:w="3770" w:type="dxa"/>
            <w:gridSpan w:val="3"/>
            <w:tcBorders>
              <w:top w:val="nil"/>
              <w:left w:val="single" w:sz="8" w:space="0" w:color="4F81BD"/>
              <w:bottom w:val="nil"/>
              <w:right w:val="nil"/>
            </w:tcBorders>
            <w:shd w:val="clear" w:color="auto" w:fill="5B9BD5" w:themeFill="accent1"/>
            <w:noWrap/>
            <w:vAlign w:val="center"/>
          </w:tcPr>
          <w:p w:rsidR="00C66BFD" w:rsidRPr="001071FB" w:rsidRDefault="00C66BFD" w:rsidP="001071FB">
            <w:pPr>
              <w:spacing w:after="0"/>
              <w:jc w:val="center"/>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2030</w:t>
            </w:r>
          </w:p>
        </w:tc>
      </w:tr>
      <w:tr w:rsidR="00C66BFD" w:rsidRPr="00C66BFD" w:rsidTr="001071FB">
        <w:tc>
          <w:tcPr>
            <w:tcW w:w="1242" w:type="dxa"/>
            <w:tcBorders>
              <w:top w:val="nil"/>
              <w:left w:val="nil"/>
              <w:bottom w:val="nil"/>
              <w:right w:val="single" w:sz="8" w:space="0" w:color="4F81BD"/>
            </w:tcBorders>
            <w:shd w:val="clear" w:color="auto" w:fill="5B9BD5" w:themeFill="accent1"/>
            <w:noWrap/>
            <w:vAlign w:val="center"/>
          </w:tcPr>
          <w:p w:rsidR="00D87247" w:rsidRPr="001071FB" w:rsidRDefault="00D87247" w:rsidP="00D87247">
            <w:pPr>
              <w:spacing w:after="0" w:line="240" w:lineRule="auto"/>
              <w:rPr>
                <w:rFonts w:asciiTheme="minorHAnsi" w:eastAsia="Times New Roman" w:hAnsiTheme="minorHAnsi" w:cstheme="minorHAnsi"/>
                <w:b/>
                <w:color w:val="FFFFFF" w:themeColor="background1"/>
                <w:sz w:val="18"/>
                <w:szCs w:val="18"/>
                <w:lang w:eastAsia="en-AU"/>
              </w:rPr>
            </w:pPr>
          </w:p>
        </w:tc>
        <w:tc>
          <w:tcPr>
            <w:tcW w:w="1418" w:type="dxa"/>
            <w:tcBorders>
              <w:top w:val="nil"/>
              <w:left w:val="single" w:sz="8" w:space="0" w:color="4F81BD"/>
              <w:bottom w:val="nil"/>
              <w:right w:val="nil"/>
            </w:tcBorders>
            <w:shd w:val="clear" w:color="auto" w:fill="5B9BD5" w:themeFill="accent1"/>
            <w:noWrap/>
            <w:vAlign w:val="center"/>
          </w:tcPr>
          <w:p w:rsidR="00D87247" w:rsidRPr="001071FB" w:rsidRDefault="00D87247" w:rsidP="00C66BFD">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 xml:space="preserve">Presenteeism &amp; </w:t>
            </w:r>
            <w:r w:rsidR="00C66BFD" w:rsidRPr="001071FB">
              <w:rPr>
                <w:rFonts w:asciiTheme="minorHAnsi" w:eastAsia="Times New Roman" w:hAnsiTheme="minorHAnsi" w:cstheme="minorHAnsi"/>
                <w:b/>
                <w:color w:val="FFFFFF" w:themeColor="background1"/>
                <w:sz w:val="18"/>
                <w:szCs w:val="18"/>
                <w:lang w:eastAsia="en-AU"/>
              </w:rPr>
              <w:t>absenteeism</w:t>
            </w:r>
          </w:p>
        </w:tc>
        <w:tc>
          <w:tcPr>
            <w:tcW w:w="1276" w:type="dxa"/>
            <w:tcBorders>
              <w:top w:val="nil"/>
              <w:left w:val="nil"/>
              <w:bottom w:val="nil"/>
              <w:right w:val="nil"/>
            </w:tcBorders>
            <w:shd w:val="clear" w:color="auto" w:fill="5B9BD5" w:themeFill="accent1"/>
            <w:noWrap/>
            <w:vAlign w:val="center"/>
          </w:tcPr>
          <w:p w:rsidR="00D87247" w:rsidRPr="001071FB" w:rsidRDefault="00D87247" w:rsidP="00D8724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Early retirement</w:t>
            </w:r>
          </w:p>
        </w:tc>
        <w:tc>
          <w:tcPr>
            <w:tcW w:w="799" w:type="dxa"/>
            <w:tcBorders>
              <w:top w:val="nil"/>
              <w:left w:val="nil"/>
              <w:bottom w:val="nil"/>
              <w:right w:val="single" w:sz="8" w:space="0" w:color="4F81BD"/>
            </w:tcBorders>
            <w:shd w:val="clear" w:color="auto" w:fill="5B9BD5" w:themeFill="accent1"/>
            <w:vAlign w:val="center"/>
          </w:tcPr>
          <w:p w:rsidR="00D87247" w:rsidRPr="001071FB" w:rsidRDefault="00D87247" w:rsidP="00D8724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Total</w:t>
            </w:r>
          </w:p>
        </w:tc>
        <w:tc>
          <w:tcPr>
            <w:tcW w:w="1489" w:type="dxa"/>
            <w:tcBorders>
              <w:top w:val="nil"/>
              <w:left w:val="single" w:sz="8" w:space="0" w:color="4F81BD"/>
              <w:bottom w:val="nil"/>
              <w:right w:val="nil"/>
            </w:tcBorders>
            <w:shd w:val="clear" w:color="auto" w:fill="5B9BD5" w:themeFill="accent1"/>
            <w:noWrap/>
            <w:vAlign w:val="center"/>
          </w:tcPr>
          <w:p w:rsidR="00D87247" w:rsidRPr="001071FB" w:rsidRDefault="00D87247" w:rsidP="00C66BFD">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 xml:space="preserve">Presenteeism &amp; </w:t>
            </w:r>
            <w:r w:rsidR="00C66BFD" w:rsidRPr="001071FB">
              <w:rPr>
                <w:rFonts w:asciiTheme="minorHAnsi" w:eastAsia="Times New Roman" w:hAnsiTheme="minorHAnsi" w:cstheme="minorHAnsi"/>
                <w:b/>
                <w:color w:val="FFFFFF" w:themeColor="background1"/>
                <w:sz w:val="18"/>
                <w:szCs w:val="18"/>
                <w:lang w:eastAsia="en-AU"/>
              </w:rPr>
              <w:t>a</w:t>
            </w:r>
            <w:r w:rsidRPr="001071FB">
              <w:rPr>
                <w:rFonts w:asciiTheme="minorHAnsi" w:eastAsia="Times New Roman" w:hAnsiTheme="minorHAnsi" w:cstheme="minorHAnsi"/>
                <w:b/>
                <w:color w:val="FFFFFF" w:themeColor="background1"/>
                <w:sz w:val="18"/>
                <w:szCs w:val="18"/>
                <w:lang w:eastAsia="en-AU"/>
              </w:rPr>
              <w:t>bsenteeism</w:t>
            </w:r>
          </w:p>
        </w:tc>
        <w:tc>
          <w:tcPr>
            <w:tcW w:w="1398" w:type="dxa"/>
            <w:tcBorders>
              <w:top w:val="nil"/>
              <w:left w:val="nil"/>
              <w:bottom w:val="nil"/>
              <w:right w:val="nil"/>
            </w:tcBorders>
            <w:shd w:val="clear" w:color="auto" w:fill="5B9BD5" w:themeFill="accent1"/>
            <w:noWrap/>
            <w:vAlign w:val="center"/>
          </w:tcPr>
          <w:p w:rsidR="00D87247" w:rsidRPr="001071FB" w:rsidRDefault="00D87247" w:rsidP="00D8724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Early ret</w:t>
            </w:r>
            <w:r w:rsidR="00C66BFD" w:rsidRPr="001071FB">
              <w:rPr>
                <w:rFonts w:asciiTheme="minorHAnsi" w:eastAsia="Times New Roman" w:hAnsiTheme="minorHAnsi" w:cstheme="minorHAnsi"/>
                <w:b/>
                <w:color w:val="FFFFFF" w:themeColor="background1"/>
                <w:sz w:val="18"/>
                <w:szCs w:val="18"/>
                <w:lang w:eastAsia="en-AU"/>
              </w:rPr>
              <w:t>irement</w:t>
            </w:r>
          </w:p>
        </w:tc>
        <w:tc>
          <w:tcPr>
            <w:tcW w:w="883" w:type="dxa"/>
            <w:tcBorders>
              <w:top w:val="nil"/>
              <w:left w:val="nil"/>
              <w:bottom w:val="nil"/>
              <w:right w:val="nil"/>
            </w:tcBorders>
            <w:shd w:val="clear" w:color="auto" w:fill="5B9BD5" w:themeFill="accent1"/>
            <w:vAlign w:val="center"/>
          </w:tcPr>
          <w:p w:rsidR="00D87247" w:rsidRPr="001071FB" w:rsidRDefault="00D87247" w:rsidP="00D87247">
            <w:pPr>
              <w:spacing w:after="0" w:line="240" w:lineRule="auto"/>
              <w:jc w:val="right"/>
              <w:rPr>
                <w:rFonts w:asciiTheme="minorHAnsi" w:eastAsia="Times New Roman" w:hAnsiTheme="minorHAnsi" w:cstheme="minorHAnsi"/>
                <w:b/>
                <w:color w:val="FFFFFF" w:themeColor="background1"/>
                <w:sz w:val="18"/>
                <w:szCs w:val="18"/>
                <w:lang w:eastAsia="en-AU"/>
              </w:rPr>
            </w:pPr>
            <w:r w:rsidRPr="001071FB">
              <w:rPr>
                <w:rFonts w:asciiTheme="minorHAnsi" w:eastAsia="Times New Roman" w:hAnsiTheme="minorHAnsi" w:cstheme="minorHAnsi"/>
                <w:b/>
                <w:color w:val="FFFFFF" w:themeColor="background1"/>
                <w:sz w:val="18"/>
                <w:szCs w:val="18"/>
                <w:lang w:eastAsia="en-AU"/>
              </w:rPr>
              <w:t>Total</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Brazil</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5.2</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7.6%</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5.8</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8.7%</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China</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3.5</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2.2%</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5.7%</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4.3</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7.1%</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Colombia</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4.9</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7.3%</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5.4</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2.7%</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8.1%</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India</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4.8</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7.7%</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5.0</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3.3%</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8.3%</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Japan</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4.1</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7.1%</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4.6</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3.6%</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8.0%</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Mexico</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3.7</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2.0%</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5.7%</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3.9</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2.6%</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6.5%</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Peru</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4.9</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1.9%</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6.8%</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5.4</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2.4%</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7.8%</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Poland</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4.7</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3.9%</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8.6%</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5.5</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4.0%</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9.5%</w:t>
            </w:r>
          </w:p>
        </w:tc>
      </w:tr>
      <w:tr w:rsidR="00C66BFD" w:rsidRPr="00C66BFD" w:rsidTr="001071FB">
        <w:tc>
          <w:tcPr>
            <w:tcW w:w="1242" w:type="dxa"/>
            <w:tcBorders>
              <w:top w:val="nil"/>
              <w:left w:val="nil"/>
              <w:bottom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South Africa</w:t>
            </w:r>
          </w:p>
        </w:tc>
        <w:tc>
          <w:tcPr>
            <w:tcW w:w="1418"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4.9</w:t>
            </w:r>
          </w:p>
        </w:tc>
        <w:tc>
          <w:tcPr>
            <w:tcW w:w="1276" w:type="dxa"/>
            <w:tcBorders>
              <w:top w:val="nil"/>
              <w:left w:val="nil"/>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3.0%</w:t>
            </w:r>
          </w:p>
        </w:tc>
        <w:tc>
          <w:tcPr>
            <w:tcW w:w="799" w:type="dxa"/>
            <w:tcBorders>
              <w:top w:val="nil"/>
              <w:left w:val="nil"/>
              <w:bottom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7.9%</w:t>
            </w:r>
          </w:p>
        </w:tc>
        <w:tc>
          <w:tcPr>
            <w:tcW w:w="1489" w:type="dxa"/>
            <w:tcBorders>
              <w:top w:val="nil"/>
              <w:left w:val="single" w:sz="8" w:space="0" w:color="4F81BD"/>
              <w:bottom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5.2</w:t>
            </w:r>
          </w:p>
        </w:tc>
        <w:tc>
          <w:tcPr>
            <w:tcW w:w="1398" w:type="dxa"/>
            <w:tcBorders>
              <w:top w:val="nil"/>
              <w:left w:val="nil"/>
              <w:bottom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2.8%</w:t>
            </w:r>
          </w:p>
        </w:tc>
        <w:tc>
          <w:tcPr>
            <w:tcW w:w="883" w:type="dxa"/>
            <w:tcBorders>
              <w:top w:val="nil"/>
              <w:left w:val="nil"/>
              <w:bottom w:val="nil"/>
              <w:right w:val="nil"/>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8.0%</w:t>
            </w:r>
          </w:p>
        </w:tc>
      </w:tr>
      <w:tr w:rsidR="00C66BFD" w:rsidRPr="00C66BFD" w:rsidTr="001071FB">
        <w:tc>
          <w:tcPr>
            <w:tcW w:w="1242" w:type="dxa"/>
            <w:tcBorders>
              <w:top w:val="nil"/>
              <w:left w:val="nil"/>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Turkey</w:t>
            </w:r>
          </w:p>
        </w:tc>
        <w:tc>
          <w:tcPr>
            <w:tcW w:w="1418" w:type="dxa"/>
            <w:tcBorders>
              <w:top w:val="nil"/>
              <w:left w:val="single" w:sz="8" w:space="0" w:color="4F81BD"/>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5.3</w:t>
            </w:r>
          </w:p>
        </w:tc>
        <w:tc>
          <w:tcPr>
            <w:tcW w:w="1276" w:type="dxa"/>
            <w:tcBorders>
              <w:top w:val="nil"/>
              <w:left w:val="nil"/>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3.3%</w:t>
            </w:r>
          </w:p>
        </w:tc>
        <w:tc>
          <w:tcPr>
            <w:tcW w:w="799" w:type="dxa"/>
            <w:tcBorders>
              <w:top w:val="nil"/>
              <w:left w:val="nil"/>
              <w:right w:val="single" w:sz="8" w:space="0" w:color="4F81BD"/>
            </w:tcBorders>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8.6%</w:t>
            </w:r>
          </w:p>
        </w:tc>
        <w:tc>
          <w:tcPr>
            <w:tcW w:w="1489" w:type="dxa"/>
            <w:tcBorders>
              <w:top w:val="nil"/>
              <w:left w:val="single" w:sz="8" w:space="0" w:color="4F81BD"/>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6.0</w:t>
            </w:r>
          </w:p>
        </w:tc>
        <w:tc>
          <w:tcPr>
            <w:tcW w:w="1398" w:type="dxa"/>
            <w:tcBorders>
              <w:top w:val="nil"/>
              <w:left w:val="nil"/>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4.2%</w:t>
            </w:r>
          </w:p>
        </w:tc>
        <w:tc>
          <w:tcPr>
            <w:tcW w:w="883" w:type="dxa"/>
            <w:tcBorders>
              <w:top w:val="nil"/>
              <w:left w:val="nil"/>
              <w:right w:val="nil"/>
            </w:tcBorders>
            <w:vAlign w:val="center"/>
          </w:tcPr>
          <w:p w:rsidR="00113171" w:rsidRPr="001071FB" w:rsidRDefault="00C67872"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10.2%</w:t>
            </w:r>
          </w:p>
        </w:tc>
      </w:tr>
      <w:tr w:rsidR="00C66BFD" w:rsidRPr="00C66BFD" w:rsidTr="001071FB">
        <w:tc>
          <w:tcPr>
            <w:tcW w:w="1242" w:type="dxa"/>
            <w:tcBorders>
              <w:top w:val="nil"/>
              <w:left w:val="nil"/>
              <w:bottom w:val="single" w:sz="8" w:space="0" w:color="4F81BD"/>
              <w:right w:val="single" w:sz="8" w:space="0" w:color="4F81BD"/>
            </w:tcBorders>
            <w:shd w:val="clear" w:color="auto" w:fill="auto"/>
            <w:noWrap/>
            <w:vAlign w:val="center"/>
            <w:hideMark/>
          </w:tcPr>
          <w:p w:rsidR="00113171" w:rsidRPr="001071FB" w:rsidRDefault="00113171" w:rsidP="001071FB">
            <w:pPr>
              <w:spacing w:after="0"/>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United States</w:t>
            </w:r>
          </w:p>
        </w:tc>
        <w:tc>
          <w:tcPr>
            <w:tcW w:w="1418" w:type="dxa"/>
            <w:tcBorders>
              <w:top w:val="nil"/>
              <w:left w:val="single" w:sz="8" w:space="0" w:color="4F81BD"/>
              <w:bottom w:val="single" w:sz="8" w:space="0" w:color="4F81BD"/>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5.2</w:t>
            </w:r>
          </w:p>
        </w:tc>
        <w:tc>
          <w:tcPr>
            <w:tcW w:w="1276" w:type="dxa"/>
            <w:tcBorders>
              <w:top w:val="nil"/>
              <w:left w:val="nil"/>
              <w:bottom w:val="single" w:sz="8" w:space="0" w:color="4F81BD"/>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3.2%</w:t>
            </w:r>
          </w:p>
        </w:tc>
        <w:tc>
          <w:tcPr>
            <w:tcW w:w="799" w:type="dxa"/>
            <w:tcBorders>
              <w:top w:val="nil"/>
              <w:left w:val="nil"/>
              <w:bottom w:val="single" w:sz="8" w:space="0" w:color="4F81BD"/>
              <w:right w:val="single" w:sz="8" w:space="0" w:color="4F81BD"/>
            </w:tcBorders>
            <w:vAlign w:val="center"/>
          </w:tcPr>
          <w:p w:rsidR="00113171" w:rsidRPr="001071FB" w:rsidRDefault="00C67872"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8.4%</w:t>
            </w:r>
          </w:p>
        </w:tc>
        <w:tc>
          <w:tcPr>
            <w:tcW w:w="1489" w:type="dxa"/>
            <w:tcBorders>
              <w:top w:val="nil"/>
              <w:left w:val="single" w:sz="8" w:space="0" w:color="4F81BD"/>
              <w:bottom w:val="single" w:sz="8" w:space="0" w:color="4F81BD"/>
              <w:right w:val="nil"/>
            </w:tcBorders>
            <w:shd w:val="clear" w:color="auto" w:fill="auto"/>
            <w:noWrap/>
            <w:vAlign w:val="center"/>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5.5</w:t>
            </w:r>
          </w:p>
        </w:tc>
        <w:tc>
          <w:tcPr>
            <w:tcW w:w="1398" w:type="dxa"/>
            <w:tcBorders>
              <w:top w:val="nil"/>
              <w:left w:val="nil"/>
              <w:bottom w:val="single" w:sz="8" w:space="0" w:color="4F81BD"/>
              <w:right w:val="nil"/>
            </w:tcBorders>
            <w:shd w:val="clear" w:color="auto" w:fill="auto"/>
            <w:noWrap/>
            <w:vAlign w:val="center"/>
            <w:hideMark/>
          </w:tcPr>
          <w:p w:rsidR="00113171" w:rsidRPr="001071FB" w:rsidRDefault="00113171"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2.9%</w:t>
            </w:r>
          </w:p>
        </w:tc>
        <w:tc>
          <w:tcPr>
            <w:tcW w:w="883" w:type="dxa"/>
            <w:tcBorders>
              <w:top w:val="nil"/>
              <w:left w:val="nil"/>
              <w:bottom w:val="single" w:sz="8" w:space="0" w:color="4F81BD"/>
              <w:right w:val="nil"/>
            </w:tcBorders>
            <w:vAlign w:val="center"/>
          </w:tcPr>
          <w:p w:rsidR="00113171" w:rsidRPr="001071FB" w:rsidRDefault="00C67872" w:rsidP="001071FB">
            <w:pPr>
              <w:spacing w:after="0"/>
              <w:jc w:val="right"/>
              <w:rPr>
                <w:rFonts w:asciiTheme="minorHAnsi" w:eastAsia="Times New Roman" w:hAnsiTheme="minorHAnsi" w:cstheme="minorHAnsi"/>
                <w:color w:val="000000"/>
                <w:sz w:val="18"/>
                <w:szCs w:val="18"/>
                <w:lang w:eastAsia="en-AU"/>
              </w:rPr>
            </w:pPr>
            <w:r w:rsidRPr="001071FB">
              <w:rPr>
                <w:rFonts w:asciiTheme="minorHAnsi" w:eastAsia="Times New Roman" w:hAnsiTheme="minorHAnsi" w:cstheme="minorHAnsi"/>
                <w:color w:val="000000"/>
                <w:sz w:val="18"/>
                <w:szCs w:val="18"/>
                <w:lang w:eastAsia="en-AU"/>
              </w:rPr>
              <w:t>8.4%</w:t>
            </w:r>
          </w:p>
        </w:tc>
      </w:tr>
    </w:tbl>
    <w:p w:rsidR="00113171" w:rsidRPr="001071FB" w:rsidRDefault="00C66BFD" w:rsidP="00AB4FFA">
      <w:pPr>
        <w:rPr>
          <w:sz w:val="18"/>
          <w:szCs w:val="18"/>
        </w:rPr>
      </w:pPr>
      <w:r w:rsidRPr="001071FB">
        <w:rPr>
          <w:sz w:val="18"/>
          <w:szCs w:val="18"/>
        </w:rPr>
        <w:t>Source: VISES estimates.</w:t>
      </w:r>
    </w:p>
    <w:p w:rsidR="00620021" w:rsidRDefault="00620021" w:rsidP="00AB4FFA">
      <w:pPr>
        <w:rPr>
          <w:rFonts w:asciiTheme="majorHAnsi" w:eastAsiaTheme="majorEastAsia" w:hAnsiTheme="majorHAnsi" w:cstheme="majorBidi"/>
          <w:b/>
          <w:bCs/>
          <w:color w:val="2E74B5" w:themeColor="accent1" w:themeShade="BF"/>
          <w:sz w:val="26"/>
          <w:szCs w:val="26"/>
        </w:rPr>
      </w:pPr>
      <w:r w:rsidRPr="001071FB">
        <w:rPr>
          <w:rFonts w:asciiTheme="majorHAnsi" w:eastAsiaTheme="majorEastAsia" w:hAnsiTheme="majorHAnsi" w:cstheme="majorBidi"/>
          <w:b/>
          <w:bCs/>
          <w:color w:val="2E74B5" w:themeColor="accent1" w:themeShade="BF"/>
          <w:sz w:val="26"/>
          <w:szCs w:val="26"/>
        </w:rPr>
        <w:t>References</w:t>
      </w:r>
    </w:p>
    <w:p w:rsidR="007B4B71" w:rsidRDefault="007B4B71" w:rsidP="00A57D20">
      <w:pPr>
        <w:spacing w:after="120"/>
        <w:ind w:left="426" w:hanging="426"/>
        <w:rPr>
          <w:rFonts w:eastAsia="MS Mincho" w:cs="Calibri"/>
          <w:sz w:val="20"/>
          <w:szCs w:val="20"/>
        </w:rPr>
      </w:pPr>
      <w:r w:rsidRPr="003E064F">
        <w:rPr>
          <w:rFonts w:eastAsia="MS Mincho" w:cs="Calibri"/>
          <w:sz w:val="20"/>
          <w:szCs w:val="20"/>
        </w:rPr>
        <w:t xml:space="preserve">Goetzel, R.Z. et al. 2004, ‘Health, absence, disability, and presenteeism cost estimates of certain physical and mental health conditions affecting U.S. employers’, </w:t>
      </w:r>
      <w:r w:rsidRPr="003E064F">
        <w:rPr>
          <w:rFonts w:eastAsia="MS Mincho" w:cs="Calibri"/>
          <w:i/>
          <w:sz w:val="20"/>
          <w:szCs w:val="20"/>
        </w:rPr>
        <w:t>Journal of Occupational and Environmental Medicine</w:t>
      </w:r>
      <w:r w:rsidRPr="003E064F">
        <w:rPr>
          <w:rFonts w:eastAsia="MS Mincho" w:cs="Calibri"/>
          <w:sz w:val="20"/>
          <w:szCs w:val="20"/>
        </w:rPr>
        <w:t>, vol. 46, no. 4,  pp. 398-412.</w:t>
      </w:r>
    </w:p>
    <w:p w:rsidR="00411E9D" w:rsidRPr="00AC3C08" w:rsidRDefault="00411E9D" w:rsidP="00A57D20">
      <w:pPr>
        <w:spacing w:after="120"/>
        <w:ind w:left="284" w:hanging="284"/>
        <w:rPr>
          <w:rFonts w:cs="Calibri"/>
          <w:sz w:val="20"/>
          <w:szCs w:val="20"/>
        </w:rPr>
      </w:pPr>
      <w:r w:rsidRPr="00F9163C">
        <w:rPr>
          <w:rFonts w:cs="Calibri"/>
          <w:sz w:val="20"/>
          <w:szCs w:val="20"/>
        </w:rPr>
        <w:t xml:space="preserve">Institute of Health Metrics and Evaluation (IHME) 2015, ‘GBD Data’, Seattle, WA, at </w:t>
      </w:r>
      <w:hyperlink r:id="rId16" w:history="1">
        <w:r w:rsidR="00E811A1" w:rsidRPr="00E811A1">
          <w:rPr>
            <w:rStyle w:val="Hyperlink"/>
            <w:rFonts w:cs="Calibri"/>
            <w:sz w:val="20"/>
            <w:szCs w:val="20"/>
          </w:rPr>
          <w:t>http://www.healthdata.org/gbd/data</w:t>
        </w:r>
      </w:hyperlink>
      <w:r w:rsidR="00E811A1">
        <w:rPr>
          <w:rFonts w:cs="Calibri"/>
          <w:sz w:val="20"/>
          <w:szCs w:val="20"/>
        </w:rPr>
        <w:t xml:space="preserve"> </w:t>
      </w:r>
      <w:r>
        <w:rPr>
          <w:rFonts w:cs="Calibri"/>
          <w:color w:val="FF0000"/>
          <w:sz w:val="20"/>
          <w:szCs w:val="20"/>
        </w:rPr>
        <w:t xml:space="preserve"> </w:t>
      </w:r>
      <w:r w:rsidRPr="00F9163C">
        <w:rPr>
          <w:rFonts w:cs="Calibri"/>
          <w:color w:val="FF0000"/>
          <w:sz w:val="20"/>
          <w:szCs w:val="20"/>
        </w:rPr>
        <w:t xml:space="preserve"> </w:t>
      </w:r>
      <w:r w:rsidRPr="00AC3C08">
        <w:rPr>
          <w:rFonts w:cs="Calibri"/>
          <w:sz w:val="20"/>
          <w:szCs w:val="20"/>
        </w:rPr>
        <w:t xml:space="preserve"> </w:t>
      </w:r>
    </w:p>
    <w:p w:rsidR="00E811A1" w:rsidRPr="004169A7" w:rsidRDefault="00E811A1" w:rsidP="00A57D20">
      <w:pPr>
        <w:spacing w:after="120"/>
        <w:ind w:left="426" w:hanging="426"/>
        <w:rPr>
          <w:rFonts w:eastAsia="MS Mincho" w:cs="Calibri"/>
          <w:noProof/>
          <w:sz w:val="20"/>
          <w:szCs w:val="20"/>
          <w:lang w:eastAsia="en-AU"/>
        </w:rPr>
      </w:pPr>
      <w:r w:rsidRPr="004169A7">
        <w:rPr>
          <w:rFonts w:eastAsia="MS Mincho" w:cs="Calibri"/>
          <w:noProof/>
          <w:sz w:val="20"/>
          <w:szCs w:val="20"/>
          <w:lang w:eastAsia="en-AU"/>
        </w:rPr>
        <w:t xml:space="preserve">International Labour Organization (ILO) 2014, ILOSTAT Database, Geneva, at </w:t>
      </w:r>
      <w:hyperlink r:id="rId17" w:history="1">
        <w:r w:rsidRPr="00E811A1">
          <w:rPr>
            <w:rStyle w:val="Hyperlink"/>
            <w:rFonts w:eastAsia="MS Mincho" w:cs="Calibri"/>
            <w:noProof/>
            <w:sz w:val="20"/>
            <w:szCs w:val="20"/>
            <w:lang w:eastAsia="en-AU"/>
          </w:rPr>
          <w:t>http://www.ilo.org/ilostat/faces/home/statisticaldata?_afrLoop=3064170038134783#%40%3F_afrLoop%3D3064170038134783%26_adf.ctrl-state%3Dkpuvr3vj9_4</w:t>
        </w:r>
      </w:hyperlink>
    </w:p>
    <w:p w:rsidR="007B4B71" w:rsidRPr="003B6612" w:rsidRDefault="007B4B71" w:rsidP="00A57D20">
      <w:pPr>
        <w:spacing w:after="120"/>
        <w:ind w:left="426" w:hanging="426"/>
        <w:rPr>
          <w:rFonts w:eastAsia="MS Mincho" w:cs="Calibri"/>
          <w:sz w:val="20"/>
          <w:szCs w:val="20"/>
        </w:rPr>
      </w:pPr>
      <w:r w:rsidRPr="003B6612">
        <w:rPr>
          <w:rFonts w:eastAsia="MS Mincho" w:cs="Calibri"/>
          <w:sz w:val="20"/>
          <w:szCs w:val="20"/>
        </w:rPr>
        <w:t>Murray, C</w:t>
      </w:r>
      <w:r w:rsidR="00FE15DD">
        <w:rPr>
          <w:rFonts w:eastAsia="MS Mincho" w:cs="Calibri"/>
          <w:sz w:val="20"/>
          <w:szCs w:val="20"/>
        </w:rPr>
        <w:t>.</w:t>
      </w:r>
      <w:r w:rsidRPr="003B6612">
        <w:rPr>
          <w:rFonts w:eastAsia="MS Mincho" w:cs="Calibri"/>
          <w:sz w:val="20"/>
          <w:szCs w:val="20"/>
        </w:rPr>
        <w:t>J</w:t>
      </w:r>
      <w:r w:rsidR="00FE15DD">
        <w:rPr>
          <w:rFonts w:eastAsia="MS Mincho" w:cs="Calibri"/>
          <w:sz w:val="20"/>
          <w:szCs w:val="20"/>
        </w:rPr>
        <w:t>.</w:t>
      </w:r>
      <w:r w:rsidRPr="003B6612">
        <w:rPr>
          <w:rFonts w:eastAsia="MS Mincho" w:cs="Calibri"/>
          <w:sz w:val="20"/>
          <w:szCs w:val="20"/>
        </w:rPr>
        <w:t>L</w:t>
      </w:r>
      <w:r w:rsidR="00FE15DD">
        <w:rPr>
          <w:rFonts w:eastAsia="MS Mincho" w:cs="Calibri"/>
          <w:sz w:val="20"/>
          <w:szCs w:val="20"/>
        </w:rPr>
        <w:t>.</w:t>
      </w:r>
      <w:r w:rsidRPr="003B6612">
        <w:rPr>
          <w:rFonts w:eastAsia="MS Mincho" w:cs="Calibri"/>
          <w:sz w:val="20"/>
          <w:szCs w:val="20"/>
        </w:rPr>
        <w:t xml:space="preserve"> et al. </w:t>
      </w:r>
      <w:r w:rsidR="00FE15DD">
        <w:rPr>
          <w:rFonts w:eastAsia="MS Mincho" w:cs="Calibri"/>
          <w:sz w:val="20"/>
          <w:szCs w:val="20"/>
        </w:rPr>
        <w:t xml:space="preserve"> 2015, ‘</w:t>
      </w:r>
      <w:r w:rsidRPr="003B6612">
        <w:rPr>
          <w:rFonts w:eastAsia="MS Mincho" w:cs="Calibri"/>
          <w:sz w:val="20"/>
          <w:szCs w:val="20"/>
        </w:rPr>
        <w:t xml:space="preserve">Global, regional, and national disability-adjusted life years (DALYs) for 306 diseases and injuries and healthy life expectancy (HALE) for 188 countries, 1990–2013: </w:t>
      </w:r>
      <w:r w:rsidR="00FE15DD" w:rsidRPr="003B6612">
        <w:rPr>
          <w:rFonts w:eastAsia="MS Mincho" w:cs="Calibri"/>
          <w:sz w:val="20"/>
          <w:szCs w:val="20"/>
        </w:rPr>
        <w:t xml:space="preserve">Quantifying </w:t>
      </w:r>
      <w:r w:rsidR="00FE15DD">
        <w:rPr>
          <w:rFonts w:eastAsia="MS Mincho" w:cs="Calibri"/>
          <w:sz w:val="20"/>
          <w:szCs w:val="20"/>
        </w:rPr>
        <w:t xml:space="preserve">the epidemiological transition’,  </w:t>
      </w:r>
      <w:r w:rsidR="00FE15DD" w:rsidRPr="001071FB">
        <w:rPr>
          <w:rFonts w:eastAsia="MS Mincho" w:cs="Calibri"/>
          <w:i/>
          <w:sz w:val="20"/>
          <w:szCs w:val="20"/>
        </w:rPr>
        <w:t>The Lancet</w:t>
      </w:r>
      <w:r w:rsidR="00FE15DD">
        <w:rPr>
          <w:rFonts w:eastAsia="MS Mincho" w:cs="Calibri"/>
          <w:sz w:val="20"/>
          <w:szCs w:val="20"/>
        </w:rPr>
        <w:t xml:space="preserve">, 26 August, </w:t>
      </w:r>
      <w:r w:rsidR="00FE15DD" w:rsidRPr="00FE15DD">
        <w:rPr>
          <w:rFonts w:eastAsia="MS Mincho" w:cs="Calibri"/>
          <w:sz w:val="20"/>
          <w:szCs w:val="20"/>
        </w:rPr>
        <w:t xml:space="preserve">DOI: </w:t>
      </w:r>
      <w:hyperlink r:id="rId18" w:history="1">
        <w:r w:rsidR="00FE15DD" w:rsidRPr="003476AD">
          <w:rPr>
            <w:rStyle w:val="Hyperlink"/>
            <w:rFonts w:eastAsia="MS Mincho" w:cs="Calibri"/>
            <w:sz w:val="20"/>
            <w:szCs w:val="20"/>
          </w:rPr>
          <w:t>http://dx.doi.org/10.1016/S0140-6736(15)61340-X</w:t>
        </w:r>
      </w:hyperlink>
      <w:r w:rsidR="00FE15DD">
        <w:rPr>
          <w:rFonts w:eastAsia="MS Mincho" w:cs="Calibri"/>
          <w:sz w:val="20"/>
          <w:szCs w:val="20"/>
        </w:rPr>
        <w:t xml:space="preserve"> </w:t>
      </w:r>
    </w:p>
    <w:p w:rsidR="00FE15DD" w:rsidRPr="007B4B71" w:rsidRDefault="00FE15DD" w:rsidP="001071FB">
      <w:pPr>
        <w:spacing w:after="120"/>
        <w:ind w:left="426" w:hanging="426"/>
        <w:rPr>
          <w:rFonts w:eastAsia="PMingLiU" w:cs="Calibri"/>
          <w:sz w:val="20"/>
          <w:szCs w:val="20"/>
          <w:lang w:eastAsia="zh-TW"/>
        </w:rPr>
      </w:pPr>
      <w:r w:rsidRPr="007B4B71">
        <w:rPr>
          <w:rFonts w:eastAsia="PMingLiU" w:cs="Calibri"/>
          <w:sz w:val="20"/>
          <w:szCs w:val="20"/>
          <w:lang w:eastAsia="zh-TW"/>
        </w:rPr>
        <w:t xml:space="preserve">Rasmussen, B., Sweeny, K. and Sheehan, P. 2015a, </w:t>
      </w:r>
      <w:r w:rsidRPr="007A168B">
        <w:rPr>
          <w:rFonts w:eastAsia="PMingLiU" w:cs="Calibri"/>
          <w:i/>
          <w:sz w:val="20"/>
          <w:szCs w:val="20"/>
          <w:lang w:eastAsia="zh-TW"/>
        </w:rPr>
        <w:t>Cost of Early Retirement Due to Ill Health: Phase II Countries</w:t>
      </w:r>
      <w:r w:rsidRPr="007B4B71">
        <w:rPr>
          <w:rFonts w:eastAsia="PMingLiU" w:cs="Calibri"/>
          <w:sz w:val="20"/>
          <w:szCs w:val="20"/>
          <w:lang w:eastAsia="zh-TW"/>
        </w:rPr>
        <w:t>, Report to the APEC Business Advisory Council and US Chamber of Commerce, VISES, Melbourne, October.</w:t>
      </w:r>
    </w:p>
    <w:p w:rsidR="00FE15DD" w:rsidRPr="007A168B" w:rsidRDefault="00FE15DD" w:rsidP="001071FB">
      <w:pPr>
        <w:spacing w:after="120"/>
        <w:ind w:left="426" w:hanging="426"/>
        <w:rPr>
          <w:sz w:val="20"/>
          <w:szCs w:val="20"/>
          <w:lang w:eastAsia="en-AU"/>
        </w:rPr>
      </w:pPr>
      <w:r w:rsidRPr="007B4B71">
        <w:rPr>
          <w:rFonts w:eastAsia="PMingLiU" w:cs="Calibri"/>
          <w:sz w:val="20"/>
          <w:szCs w:val="20"/>
          <w:lang w:eastAsia="zh-TW"/>
        </w:rPr>
        <w:t xml:space="preserve">Rasmussen, B., Sweeny, K. and Sheehan, P. </w:t>
      </w:r>
      <w:r w:rsidRPr="007A168B">
        <w:rPr>
          <w:sz w:val="20"/>
          <w:szCs w:val="20"/>
          <w:lang w:eastAsia="en-AU"/>
        </w:rPr>
        <w:t>2015b</w:t>
      </w:r>
      <w:r>
        <w:rPr>
          <w:sz w:val="20"/>
          <w:szCs w:val="20"/>
          <w:lang w:eastAsia="en-AU"/>
        </w:rPr>
        <w:t xml:space="preserve">, </w:t>
      </w:r>
      <w:r w:rsidRPr="007A168B">
        <w:rPr>
          <w:i/>
          <w:sz w:val="20"/>
          <w:szCs w:val="20"/>
          <w:lang w:eastAsia="en-AU"/>
        </w:rPr>
        <w:t>Cost of Early Retirement Due to Ill Health</w:t>
      </w:r>
      <w:r>
        <w:rPr>
          <w:sz w:val="20"/>
          <w:szCs w:val="20"/>
          <w:lang w:eastAsia="en-AU"/>
        </w:rPr>
        <w:t xml:space="preserve">, </w:t>
      </w:r>
      <w:r w:rsidRPr="007B4B71">
        <w:rPr>
          <w:rFonts w:eastAsia="PMingLiU" w:cs="Calibri"/>
          <w:sz w:val="20"/>
          <w:szCs w:val="20"/>
          <w:lang w:eastAsia="zh-TW"/>
        </w:rPr>
        <w:t xml:space="preserve">Report to the APEC Business Advisory Council and US Chamber of Commerce, VISES, Melbourne, </w:t>
      </w:r>
      <w:r>
        <w:rPr>
          <w:rFonts w:eastAsia="PMingLiU" w:cs="Calibri"/>
          <w:sz w:val="20"/>
          <w:szCs w:val="20"/>
          <w:lang w:eastAsia="zh-TW"/>
        </w:rPr>
        <w:t>July</w:t>
      </w:r>
      <w:r w:rsidRPr="007B4B71">
        <w:rPr>
          <w:rFonts w:eastAsia="PMingLiU" w:cs="Calibri"/>
          <w:sz w:val="20"/>
          <w:szCs w:val="20"/>
          <w:lang w:eastAsia="zh-TW"/>
        </w:rPr>
        <w:t>.</w:t>
      </w:r>
    </w:p>
    <w:p w:rsidR="00FE15DD" w:rsidRPr="007B4B71" w:rsidRDefault="00FE15DD" w:rsidP="00A57D20">
      <w:pPr>
        <w:spacing w:after="120"/>
        <w:ind w:left="426" w:hanging="426"/>
        <w:rPr>
          <w:rFonts w:eastAsia="MS Mincho" w:cs="Calibri"/>
          <w:noProof/>
          <w:sz w:val="20"/>
          <w:szCs w:val="20"/>
          <w:lang w:eastAsia="en-AU"/>
        </w:rPr>
      </w:pPr>
      <w:r w:rsidRPr="007B4B71">
        <w:rPr>
          <w:rFonts w:eastAsia="MS Mincho" w:cs="Calibri"/>
          <w:noProof/>
          <w:sz w:val="20"/>
          <w:szCs w:val="20"/>
          <w:lang w:eastAsia="en-AU"/>
        </w:rPr>
        <w:t xml:space="preserve">Salomon, J.A. et al. 2012, ‘Common values in assessing health outcomes from disease and injury: Disability weights measurement study for the Global Burden of Disease Study 2010’, </w:t>
      </w:r>
      <w:r w:rsidRPr="007B4B71">
        <w:rPr>
          <w:rFonts w:eastAsia="MS Mincho" w:cs="Calibri"/>
          <w:i/>
          <w:noProof/>
          <w:sz w:val="20"/>
          <w:szCs w:val="20"/>
          <w:lang w:eastAsia="en-AU"/>
        </w:rPr>
        <w:t>The Lancet</w:t>
      </w:r>
      <w:r w:rsidRPr="007B4B71">
        <w:rPr>
          <w:rFonts w:eastAsia="MS Mincho" w:cs="Calibri"/>
          <w:noProof/>
          <w:sz w:val="20"/>
          <w:szCs w:val="20"/>
          <w:lang w:eastAsia="en-AU"/>
        </w:rPr>
        <w:t>, vol. 380, pp. 2129-2143.</w:t>
      </w:r>
    </w:p>
    <w:p w:rsidR="004B6E2C" w:rsidRPr="001071FB" w:rsidRDefault="004B6E2C" w:rsidP="001071FB">
      <w:pPr>
        <w:spacing w:after="120"/>
        <w:ind w:left="426" w:hanging="426"/>
        <w:rPr>
          <w:sz w:val="20"/>
          <w:szCs w:val="20"/>
          <w:lang w:eastAsia="en-AU"/>
        </w:rPr>
      </w:pPr>
      <w:r w:rsidRPr="007B4B71">
        <w:rPr>
          <w:rFonts w:eastAsia="PMingLiU" w:cs="Calibri"/>
          <w:sz w:val="20"/>
          <w:szCs w:val="20"/>
          <w:lang w:eastAsia="zh-TW"/>
        </w:rPr>
        <w:t xml:space="preserve">Sheehan, P., Rasmussen, B. and Sweeny, K. 2014, </w:t>
      </w:r>
      <w:r w:rsidRPr="007B4B71">
        <w:rPr>
          <w:rFonts w:eastAsia="PMingLiU" w:cs="Calibri"/>
          <w:i/>
          <w:sz w:val="20"/>
          <w:szCs w:val="20"/>
          <w:lang w:eastAsia="zh-TW"/>
        </w:rPr>
        <w:t>The Impact of Health on Worker Attendance and Productivity in the APEC Region</w:t>
      </w:r>
      <w:r w:rsidRPr="007B4B71">
        <w:rPr>
          <w:rFonts w:eastAsia="PMingLiU" w:cs="Calibri"/>
          <w:sz w:val="20"/>
          <w:szCs w:val="20"/>
          <w:lang w:eastAsia="zh-TW"/>
        </w:rPr>
        <w:t xml:space="preserve">, Report to the APEC Business Advisory Council, VISES, Melbourne, July, at </w:t>
      </w:r>
      <w:hyperlink r:id="rId19" w:history="1">
        <w:r w:rsidRPr="007B4B71">
          <w:rPr>
            <w:rStyle w:val="Hyperlink"/>
            <w:rFonts w:eastAsia="PMingLiU" w:cs="Calibri"/>
            <w:sz w:val="20"/>
            <w:szCs w:val="20"/>
            <w:lang w:eastAsia="zh-TW"/>
          </w:rPr>
          <w:t>http://www.vises.org.au/documents/2014_VISES_Impact_of_Health_on_Productivity.pdf</w:t>
        </w:r>
      </w:hyperlink>
    </w:p>
    <w:p w:rsidR="004B6E2C" w:rsidRPr="007B4B71" w:rsidRDefault="004B6E2C" w:rsidP="001071FB">
      <w:pPr>
        <w:spacing w:after="120"/>
        <w:ind w:left="426" w:hanging="426"/>
        <w:rPr>
          <w:rFonts w:eastAsia="PMingLiU" w:cs="Calibri"/>
          <w:sz w:val="20"/>
          <w:szCs w:val="20"/>
          <w:lang w:eastAsia="zh-TW"/>
        </w:rPr>
      </w:pPr>
      <w:r w:rsidRPr="001071FB">
        <w:rPr>
          <w:rFonts w:eastAsia="PMingLiU" w:cs="Calibri"/>
          <w:sz w:val="20"/>
          <w:szCs w:val="20"/>
          <w:lang w:eastAsia="zh-TW"/>
        </w:rPr>
        <w:t xml:space="preserve">Sweeny, K., Rasmussen, B. and Sheehan, P. 2015, </w:t>
      </w:r>
      <w:r w:rsidRPr="001071FB">
        <w:rPr>
          <w:rFonts w:eastAsia="PMingLiU" w:cs="Calibri"/>
          <w:i/>
          <w:sz w:val="20"/>
          <w:szCs w:val="20"/>
          <w:lang w:eastAsia="zh-TW"/>
        </w:rPr>
        <w:t>The Impact of Health on  Worker Attendance and Productivity in Twelve Countries</w:t>
      </w:r>
      <w:r w:rsidRPr="007B4B71">
        <w:rPr>
          <w:rFonts w:eastAsia="PMingLiU" w:cs="Calibri"/>
          <w:sz w:val="20"/>
          <w:szCs w:val="20"/>
          <w:lang w:eastAsia="zh-TW"/>
        </w:rPr>
        <w:t>, Report to the APEC Business Advisory Council and US Chamber of Commerce, VISES, Melbourne, October.</w:t>
      </w:r>
    </w:p>
    <w:p w:rsidR="00620021" w:rsidRPr="001071FB" w:rsidRDefault="00FE15DD" w:rsidP="001071FB">
      <w:pPr>
        <w:spacing w:after="120"/>
        <w:ind w:left="425" w:hanging="425"/>
        <w:rPr>
          <w:rFonts w:eastAsia="MS Mincho" w:cs="Calibri"/>
          <w:sz w:val="20"/>
          <w:szCs w:val="20"/>
        </w:rPr>
      </w:pPr>
      <w:r w:rsidRPr="00FE15DD">
        <w:rPr>
          <w:sz w:val="20"/>
          <w:szCs w:val="20"/>
        </w:rPr>
        <w:t xml:space="preserve">United Nations 2014, ‘World Population Prospects: The 2012 Revision’, Department of Economic and Social Affairs, Population Division, Populations Estimates and Projections Section, New York, at </w:t>
      </w:r>
      <w:hyperlink r:id="rId20" w:history="1">
        <w:r w:rsidR="007B4B71" w:rsidRPr="007B4B71">
          <w:rPr>
            <w:rStyle w:val="Hyperlink"/>
            <w:sz w:val="20"/>
            <w:szCs w:val="20"/>
          </w:rPr>
          <w:t>http://esa.un.org/unpd/wpp/unpp/panel_population.htm</w:t>
        </w:r>
      </w:hyperlink>
    </w:p>
    <w:sectPr w:rsidR="00620021" w:rsidRPr="001071FB" w:rsidSect="001071FB">
      <w:footerReference w:type="default" r:id="rId21"/>
      <w:pgSz w:w="12242" w:h="15842" w:code="1"/>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683" w:rsidRDefault="00A96683" w:rsidP="00206C4D">
      <w:pPr>
        <w:spacing w:after="0" w:line="240" w:lineRule="auto"/>
      </w:pPr>
      <w:r>
        <w:separator/>
      </w:r>
    </w:p>
  </w:endnote>
  <w:endnote w:type="continuationSeparator" w:id="0">
    <w:p w:rsidR="00A96683" w:rsidRDefault="00A96683" w:rsidP="0020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6A7" w:rsidRDefault="00AC16A7">
    <w:pPr>
      <w:pStyle w:val="Footer"/>
      <w:jc w:val="center"/>
    </w:pPr>
  </w:p>
  <w:p w:rsidR="00AC16A7" w:rsidRDefault="00AC16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905887"/>
      <w:docPartObj>
        <w:docPartGallery w:val="Page Numbers (Bottom of Page)"/>
        <w:docPartUnique/>
      </w:docPartObj>
    </w:sdtPr>
    <w:sdtEndPr>
      <w:rPr>
        <w:noProof/>
      </w:rPr>
    </w:sdtEndPr>
    <w:sdtContent>
      <w:p w:rsidR="00AC16A7" w:rsidRDefault="00AC16A7">
        <w:pPr>
          <w:pStyle w:val="Footer"/>
          <w:jc w:val="center"/>
        </w:pPr>
        <w:r>
          <w:fldChar w:fldCharType="begin"/>
        </w:r>
        <w:r>
          <w:instrText xml:space="preserve"> PAGE   \* MERGEFORMAT </w:instrText>
        </w:r>
        <w:r>
          <w:fldChar w:fldCharType="separate"/>
        </w:r>
        <w:r w:rsidR="00C72E1E">
          <w:rPr>
            <w:noProof/>
          </w:rPr>
          <w:t>3</w:t>
        </w:r>
        <w:r>
          <w:rPr>
            <w:noProof/>
          </w:rPr>
          <w:fldChar w:fldCharType="end"/>
        </w:r>
      </w:p>
    </w:sdtContent>
  </w:sdt>
  <w:p w:rsidR="00AC16A7" w:rsidRDefault="00AC1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683" w:rsidRDefault="00A96683" w:rsidP="00206C4D">
      <w:pPr>
        <w:spacing w:after="0" w:line="240" w:lineRule="auto"/>
      </w:pPr>
      <w:r>
        <w:separator/>
      </w:r>
    </w:p>
  </w:footnote>
  <w:footnote w:type="continuationSeparator" w:id="0">
    <w:p w:rsidR="00A96683" w:rsidRDefault="00A96683" w:rsidP="00206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36F"/>
    <w:multiLevelType w:val="hybridMultilevel"/>
    <w:tmpl w:val="DA1AA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5116FC"/>
    <w:multiLevelType w:val="hybridMultilevel"/>
    <w:tmpl w:val="08E82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A379E0"/>
    <w:multiLevelType w:val="hybridMultilevel"/>
    <w:tmpl w:val="172EAC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7DD333E"/>
    <w:multiLevelType w:val="hybridMultilevel"/>
    <w:tmpl w:val="FEA817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935362B"/>
    <w:multiLevelType w:val="hybridMultilevel"/>
    <w:tmpl w:val="BD8AEB6E"/>
    <w:lvl w:ilvl="0" w:tplc="0C09000F">
      <w:start w:val="1"/>
      <w:numFmt w:val="decimal"/>
      <w:lvlText w:val="%1."/>
      <w:lvlJc w:val="left"/>
      <w:pPr>
        <w:ind w:left="1082"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5">
    <w:nsid w:val="1E7770E6"/>
    <w:multiLevelType w:val="hybridMultilevel"/>
    <w:tmpl w:val="54968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3B5FBA"/>
    <w:multiLevelType w:val="hybridMultilevel"/>
    <w:tmpl w:val="6C740F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nsid w:val="22B64FA5"/>
    <w:multiLevelType w:val="hybridMultilevel"/>
    <w:tmpl w:val="E1B459DA"/>
    <w:lvl w:ilvl="0" w:tplc="0409000F">
      <w:start w:val="1"/>
      <w:numFmt w:val="decimal"/>
      <w:lvlText w:val="%1."/>
      <w:lvlJc w:val="left"/>
      <w:pPr>
        <w:ind w:left="644"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8">
    <w:nsid w:val="25C22DB6"/>
    <w:multiLevelType w:val="hybridMultilevel"/>
    <w:tmpl w:val="B284E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6104C"/>
    <w:multiLevelType w:val="hybridMultilevel"/>
    <w:tmpl w:val="EB523604"/>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0">
    <w:nsid w:val="2C306E1C"/>
    <w:multiLevelType w:val="hybridMultilevel"/>
    <w:tmpl w:val="EA683B74"/>
    <w:lvl w:ilvl="0" w:tplc="84F8B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9038C2"/>
    <w:multiLevelType w:val="hybridMultilevel"/>
    <w:tmpl w:val="35961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8E28FD"/>
    <w:multiLevelType w:val="hybridMultilevel"/>
    <w:tmpl w:val="0A08308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3">
    <w:nsid w:val="363D0309"/>
    <w:multiLevelType w:val="hybridMultilevel"/>
    <w:tmpl w:val="2DD82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93E488B"/>
    <w:multiLevelType w:val="hybridMultilevel"/>
    <w:tmpl w:val="763A0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970365F"/>
    <w:multiLevelType w:val="hybridMultilevel"/>
    <w:tmpl w:val="4882F512"/>
    <w:lvl w:ilvl="0" w:tplc="398E7080">
      <w:start w:val="1"/>
      <w:numFmt w:val="bullet"/>
      <w:lvlText w:val="–"/>
      <w:lvlJc w:val="left"/>
      <w:pPr>
        <w:tabs>
          <w:tab w:val="num" w:pos="720"/>
        </w:tabs>
        <w:ind w:left="720" w:hanging="360"/>
      </w:pPr>
      <w:rPr>
        <w:rFonts w:ascii="Arial" w:hAnsi="Arial" w:hint="default"/>
      </w:rPr>
    </w:lvl>
    <w:lvl w:ilvl="1" w:tplc="45CAE71C">
      <w:start w:val="1"/>
      <w:numFmt w:val="bullet"/>
      <w:lvlText w:val="–"/>
      <w:lvlJc w:val="left"/>
      <w:pPr>
        <w:tabs>
          <w:tab w:val="num" w:pos="1440"/>
        </w:tabs>
        <w:ind w:left="1440" w:hanging="360"/>
      </w:pPr>
      <w:rPr>
        <w:rFonts w:ascii="Arial" w:hAnsi="Arial" w:hint="default"/>
      </w:rPr>
    </w:lvl>
    <w:lvl w:ilvl="2" w:tplc="A654503A" w:tentative="1">
      <w:start w:val="1"/>
      <w:numFmt w:val="bullet"/>
      <w:lvlText w:val="–"/>
      <w:lvlJc w:val="left"/>
      <w:pPr>
        <w:tabs>
          <w:tab w:val="num" w:pos="2160"/>
        </w:tabs>
        <w:ind w:left="2160" w:hanging="360"/>
      </w:pPr>
      <w:rPr>
        <w:rFonts w:ascii="Arial" w:hAnsi="Arial" w:hint="default"/>
      </w:rPr>
    </w:lvl>
    <w:lvl w:ilvl="3" w:tplc="1BAA92F6" w:tentative="1">
      <w:start w:val="1"/>
      <w:numFmt w:val="bullet"/>
      <w:lvlText w:val="–"/>
      <w:lvlJc w:val="left"/>
      <w:pPr>
        <w:tabs>
          <w:tab w:val="num" w:pos="2880"/>
        </w:tabs>
        <w:ind w:left="2880" w:hanging="360"/>
      </w:pPr>
      <w:rPr>
        <w:rFonts w:ascii="Arial" w:hAnsi="Arial" w:hint="default"/>
      </w:rPr>
    </w:lvl>
    <w:lvl w:ilvl="4" w:tplc="63647A48" w:tentative="1">
      <w:start w:val="1"/>
      <w:numFmt w:val="bullet"/>
      <w:lvlText w:val="–"/>
      <w:lvlJc w:val="left"/>
      <w:pPr>
        <w:tabs>
          <w:tab w:val="num" w:pos="3600"/>
        </w:tabs>
        <w:ind w:left="3600" w:hanging="360"/>
      </w:pPr>
      <w:rPr>
        <w:rFonts w:ascii="Arial" w:hAnsi="Arial" w:hint="default"/>
      </w:rPr>
    </w:lvl>
    <w:lvl w:ilvl="5" w:tplc="8CA29080" w:tentative="1">
      <w:start w:val="1"/>
      <w:numFmt w:val="bullet"/>
      <w:lvlText w:val="–"/>
      <w:lvlJc w:val="left"/>
      <w:pPr>
        <w:tabs>
          <w:tab w:val="num" w:pos="4320"/>
        </w:tabs>
        <w:ind w:left="4320" w:hanging="360"/>
      </w:pPr>
      <w:rPr>
        <w:rFonts w:ascii="Arial" w:hAnsi="Arial" w:hint="default"/>
      </w:rPr>
    </w:lvl>
    <w:lvl w:ilvl="6" w:tplc="0916E4AC" w:tentative="1">
      <w:start w:val="1"/>
      <w:numFmt w:val="bullet"/>
      <w:lvlText w:val="–"/>
      <w:lvlJc w:val="left"/>
      <w:pPr>
        <w:tabs>
          <w:tab w:val="num" w:pos="5040"/>
        </w:tabs>
        <w:ind w:left="5040" w:hanging="360"/>
      </w:pPr>
      <w:rPr>
        <w:rFonts w:ascii="Arial" w:hAnsi="Arial" w:hint="default"/>
      </w:rPr>
    </w:lvl>
    <w:lvl w:ilvl="7" w:tplc="2982A910" w:tentative="1">
      <w:start w:val="1"/>
      <w:numFmt w:val="bullet"/>
      <w:lvlText w:val="–"/>
      <w:lvlJc w:val="left"/>
      <w:pPr>
        <w:tabs>
          <w:tab w:val="num" w:pos="5760"/>
        </w:tabs>
        <w:ind w:left="5760" w:hanging="360"/>
      </w:pPr>
      <w:rPr>
        <w:rFonts w:ascii="Arial" w:hAnsi="Arial" w:hint="default"/>
      </w:rPr>
    </w:lvl>
    <w:lvl w:ilvl="8" w:tplc="3D58A75C" w:tentative="1">
      <w:start w:val="1"/>
      <w:numFmt w:val="bullet"/>
      <w:lvlText w:val="–"/>
      <w:lvlJc w:val="left"/>
      <w:pPr>
        <w:tabs>
          <w:tab w:val="num" w:pos="6480"/>
        </w:tabs>
        <w:ind w:left="6480" w:hanging="360"/>
      </w:pPr>
      <w:rPr>
        <w:rFonts w:ascii="Arial" w:hAnsi="Arial" w:hint="default"/>
      </w:rPr>
    </w:lvl>
  </w:abstractNum>
  <w:abstractNum w:abstractNumId="16">
    <w:nsid w:val="3AB90296"/>
    <w:multiLevelType w:val="hybridMultilevel"/>
    <w:tmpl w:val="DB3083E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7">
    <w:nsid w:val="3B3A65FC"/>
    <w:multiLevelType w:val="hybridMultilevel"/>
    <w:tmpl w:val="70328654"/>
    <w:lvl w:ilvl="0" w:tplc="E256B4FE">
      <w:start w:val="1"/>
      <w:numFmt w:val="bullet"/>
      <w:lvlText w:val="–"/>
      <w:lvlJc w:val="left"/>
      <w:pPr>
        <w:tabs>
          <w:tab w:val="num" w:pos="720"/>
        </w:tabs>
        <w:ind w:left="720" w:hanging="360"/>
      </w:pPr>
      <w:rPr>
        <w:rFonts w:ascii="Arial" w:hAnsi="Arial" w:hint="default"/>
      </w:rPr>
    </w:lvl>
    <w:lvl w:ilvl="1" w:tplc="E47CE53C">
      <w:start w:val="1"/>
      <w:numFmt w:val="bullet"/>
      <w:lvlText w:val="–"/>
      <w:lvlJc w:val="left"/>
      <w:pPr>
        <w:tabs>
          <w:tab w:val="num" w:pos="1440"/>
        </w:tabs>
        <w:ind w:left="1440" w:hanging="360"/>
      </w:pPr>
      <w:rPr>
        <w:rFonts w:ascii="Arial" w:hAnsi="Arial" w:hint="default"/>
      </w:rPr>
    </w:lvl>
    <w:lvl w:ilvl="2" w:tplc="B7FA984E" w:tentative="1">
      <w:start w:val="1"/>
      <w:numFmt w:val="bullet"/>
      <w:lvlText w:val="–"/>
      <w:lvlJc w:val="left"/>
      <w:pPr>
        <w:tabs>
          <w:tab w:val="num" w:pos="2160"/>
        </w:tabs>
        <w:ind w:left="2160" w:hanging="360"/>
      </w:pPr>
      <w:rPr>
        <w:rFonts w:ascii="Arial" w:hAnsi="Arial" w:hint="default"/>
      </w:rPr>
    </w:lvl>
    <w:lvl w:ilvl="3" w:tplc="4C8850EA" w:tentative="1">
      <w:start w:val="1"/>
      <w:numFmt w:val="bullet"/>
      <w:lvlText w:val="–"/>
      <w:lvlJc w:val="left"/>
      <w:pPr>
        <w:tabs>
          <w:tab w:val="num" w:pos="2880"/>
        </w:tabs>
        <w:ind w:left="2880" w:hanging="360"/>
      </w:pPr>
      <w:rPr>
        <w:rFonts w:ascii="Arial" w:hAnsi="Arial" w:hint="default"/>
      </w:rPr>
    </w:lvl>
    <w:lvl w:ilvl="4" w:tplc="79EE3054" w:tentative="1">
      <w:start w:val="1"/>
      <w:numFmt w:val="bullet"/>
      <w:lvlText w:val="–"/>
      <w:lvlJc w:val="left"/>
      <w:pPr>
        <w:tabs>
          <w:tab w:val="num" w:pos="3600"/>
        </w:tabs>
        <w:ind w:left="3600" w:hanging="360"/>
      </w:pPr>
      <w:rPr>
        <w:rFonts w:ascii="Arial" w:hAnsi="Arial" w:hint="default"/>
      </w:rPr>
    </w:lvl>
    <w:lvl w:ilvl="5" w:tplc="5DFAC28A" w:tentative="1">
      <w:start w:val="1"/>
      <w:numFmt w:val="bullet"/>
      <w:lvlText w:val="–"/>
      <w:lvlJc w:val="left"/>
      <w:pPr>
        <w:tabs>
          <w:tab w:val="num" w:pos="4320"/>
        </w:tabs>
        <w:ind w:left="4320" w:hanging="360"/>
      </w:pPr>
      <w:rPr>
        <w:rFonts w:ascii="Arial" w:hAnsi="Arial" w:hint="default"/>
      </w:rPr>
    </w:lvl>
    <w:lvl w:ilvl="6" w:tplc="BF385174" w:tentative="1">
      <w:start w:val="1"/>
      <w:numFmt w:val="bullet"/>
      <w:lvlText w:val="–"/>
      <w:lvlJc w:val="left"/>
      <w:pPr>
        <w:tabs>
          <w:tab w:val="num" w:pos="5040"/>
        </w:tabs>
        <w:ind w:left="5040" w:hanging="360"/>
      </w:pPr>
      <w:rPr>
        <w:rFonts w:ascii="Arial" w:hAnsi="Arial" w:hint="default"/>
      </w:rPr>
    </w:lvl>
    <w:lvl w:ilvl="7" w:tplc="1F7E8C54" w:tentative="1">
      <w:start w:val="1"/>
      <w:numFmt w:val="bullet"/>
      <w:lvlText w:val="–"/>
      <w:lvlJc w:val="left"/>
      <w:pPr>
        <w:tabs>
          <w:tab w:val="num" w:pos="5760"/>
        </w:tabs>
        <w:ind w:left="5760" w:hanging="360"/>
      </w:pPr>
      <w:rPr>
        <w:rFonts w:ascii="Arial" w:hAnsi="Arial" w:hint="default"/>
      </w:rPr>
    </w:lvl>
    <w:lvl w:ilvl="8" w:tplc="F7B699A8" w:tentative="1">
      <w:start w:val="1"/>
      <w:numFmt w:val="bullet"/>
      <w:lvlText w:val="–"/>
      <w:lvlJc w:val="left"/>
      <w:pPr>
        <w:tabs>
          <w:tab w:val="num" w:pos="6480"/>
        </w:tabs>
        <w:ind w:left="6480" w:hanging="360"/>
      </w:pPr>
      <w:rPr>
        <w:rFonts w:ascii="Arial" w:hAnsi="Arial" w:hint="default"/>
      </w:rPr>
    </w:lvl>
  </w:abstractNum>
  <w:abstractNum w:abstractNumId="18">
    <w:nsid w:val="409E3F0E"/>
    <w:multiLevelType w:val="hybridMultilevel"/>
    <w:tmpl w:val="A0BCF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E24176"/>
    <w:multiLevelType w:val="hybridMultilevel"/>
    <w:tmpl w:val="3542988A"/>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20">
    <w:nsid w:val="42B73716"/>
    <w:multiLevelType w:val="hybridMultilevel"/>
    <w:tmpl w:val="2BDABA6C"/>
    <w:lvl w:ilvl="0" w:tplc="80E0A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E7FDA"/>
    <w:multiLevelType w:val="hybridMultilevel"/>
    <w:tmpl w:val="5A32B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82C7AA5"/>
    <w:multiLevelType w:val="hybridMultilevel"/>
    <w:tmpl w:val="B4D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F462ED"/>
    <w:multiLevelType w:val="hybridMultilevel"/>
    <w:tmpl w:val="A38CD7C6"/>
    <w:lvl w:ilvl="0" w:tplc="0C090001">
      <w:start w:val="1"/>
      <w:numFmt w:val="bullet"/>
      <w:lvlText w:val=""/>
      <w:lvlJc w:val="left"/>
      <w:pPr>
        <w:ind w:left="1134" w:hanging="360"/>
      </w:pPr>
      <w:rPr>
        <w:rFonts w:ascii="Symbol" w:hAnsi="Symbol"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4">
    <w:nsid w:val="4B03012D"/>
    <w:multiLevelType w:val="hybridMultilevel"/>
    <w:tmpl w:val="958A3252"/>
    <w:lvl w:ilvl="0" w:tplc="D2C6AA24">
      <w:start w:val="1"/>
      <w:numFmt w:val="bullet"/>
      <w:lvlText w:val="•"/>
      <w:lvlJc w:val="left"/>
      <w:pPr>
        <w:tabs>
          <w:tab w:val="num" w:pos="720"/>
        </w:tabs>
        <w:ind w:left="720" w:hanging="360"/>
      </w:pPr>
      <w:rPr>
        <w:rFonts w:ascii="Arial" w:hAnsi="Arial" w:hint="default"/>
      </w:rPr>
    </w:lvl>
    <w:lvl w:ilvl="1" w:tplc="BE682AD0" w:tentative="1">
      <w:start w:val="1"/>
      <w:numFmt w:val="bullet"/>
      <w:lvlText w:val="•"/>
      <w:lvlJc w:val="left"/>
      <w:pPr>
        <w:tabs>
          <w:tab w:val="num" w:pos="1440"/>
        </w:tabs>
        <w:ind w:left="1440" w:hanging="360"/>
      </w:pPr>
      <w:rPr>
        <w:rFonts w:ascii="Arial" w:hAnsi="Arial" w:hint="default"/>
      </w:rPr>
    </w:lvl>
    <w:lvl w:ilvl="2" w:tplc="EE8047E4" w:tentative="1">
      <w:start w:val="1"/>
      <w:numFmt w:val="bullet"/>
      <w:lvlText w:val="•"/>
      <w:lvlJc w:val="left"/>
      <w:pPr>
        <w:tabs>
          <w:tab w:val="num" w:pos="2160"/>
        </w:tabs>
        <w:ind w:left="2160" w:hanging="360"/>
      </w:pPr>
      <w:rPr>
        <w:rFonts w:ascii="Arial" w:hAnsi="Arial" w:hint="default"/>
      </w:rPr>
    </w:lvl>
    <w:lvl w:ilvl="3" w:tplc="765AEFF4" w:tentative="1">
      <w:start w:val="1"/>
      <w:numFmt w:val="bullet"/>
      <w:lvlText w:val="•"/>
      <w:lvlJc w:val="left"/>
      <w:pPr>
        <w:tabs>
          <w:tab w:val="num" w:pos="2880"/>
        </w:tabs>
        <w:ind w:left="2880" w:hanging="360"/>
      </w:pPr>
      <w:rPr>
        <w:rFonts w:ascii="Arial" w:hAnsi="Arial" w:hint="default"/>
      </w:rPr>
    </w:lvl>
    <w:lvl w:ilvl="4" w:tplc="0470BCCA" w:tentative="1">
      <w:start w:val="1"/>
      <w:numFmt w:val="bullet"/>
      <w:lvlText w:val="•"/>
      <w:lvlJc w:val="left"/>
      <w:pPr>
        <w:tabs>
          <w:tab w:val="num" w:pos="3600"/>
        </w:tabs>
        <w:ind w:left="3600" w:hanging="360"/>
      </w:pPr>
      <w:rPr>
        <w:rFonts w:ascii="Arial" w:hAnsi="Arial" w:hint="default"/>
      </w:rPr>
    </w:lvl>
    <w:lvl w:ilvl="5" w:tplc="3CE44754" w:tentative="1">
      <w:start w:val="1"/>
      <w:numFmt w:val="bullet"/>
      <w:lvlText w:val="•"/>
      <w:lvlJc w:val="left"/>
      <w:pPr>
        <w:tabs>
          <w:tab w:val="num" w:pos="4320"/>
        </w:tabs>
        <w:ind w:left="4320" w:hanging="360"/>
      </w:pPr>
      <w:rPr>
        <w:rFonts w:ascii="Arial" w:hAnsi="Arial" w:hint="default"/>
      </w:rPr>
    </w:lvl>
    <w:lvl w:ilvl="6" w:tplc="BC2682C2" w:tentative="1">
      <w:start w:val="1"/>
      <w:numFmt w:val="bullet"/>
      <w:lvlText w:val="•"/>
      <w:lvlJc w:val="left"/>
      <w:pPr>
        <w:tabs>
          <w:tab w:val="num" w:pos="5040"/>
        </w:tabs>
        <w:ind w:left="5040" w:hanging="360"/>
      </w:pPr>
      <w:rPr>
        <w:rFonts w:ascii="Arial" w:hAnsi="Arial" w:hint="default"/>
      </w:rPr>
    </w:lvl>
    <w:lvl w:ilvl="7" w:tplc="AF723F02" w:tentative="1">
      <w:start w:val="1"/>
      <w:numFmt w:val="bullet"/>
      <w:lvlText w:val="•"/>
      <w:lvlJc w:val="left"/>
      <w:pPr>
        <w:tabs>
          <w:tab w:val="num" w:pos="5760"/>
        </w:tabs>
        <w:ind w:left="5760" w:hanging="360"/>
      </w:pPr>
      <w:rPr>
        <w:rFonts w:ascii="Arial" w:hAnsi="Arial" w:hint="default"/>
      </w:rPr>
    </w:lvl>
    <w:lvl w:ilvl="8" w:tplc="7CECFBE6" w:tentative="1">
      <w:start w:val="1"/>
      <w:numFmt w:val="bullet"/>
      <w:lvlText w:val="•"/>
      <w:lvlJc w:val="left"/>
      <w:pPr>
        <w:tabs>
          <w:tab w:val="num" w:pos="6480"/>
        </w:tabs>
        <w:ind w:left="6480" w:hanging="360"/>
      </w:pPr>
      <w:rPr>
        <w:rFonts w:ascii="Arial" w:hAnsi="Arial" w:hint="default"/>
      </w:rPr>
    </w:lvl>
  </w:abstractNum>
  <w:abstractNum w:abstractNumId="25">
    <w:nsid w:val="4C1D31BC"/>
    <w:multiLevelType w:val="hybridMultilevel"/>
    <w:tmpl w:val="72A6C738"/>
    <w:lvl w:ilvl="0" w:tplc="84F8B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C575B"/>
    <w:multiLevelType w:val="hybridMultilevel"/>
    <w:tmpl w:val="2ECA8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2AF3FFF"/>
    <w:multiLevelType w:val="hybridMultilevel"/>
    <w:tmpl w:val="01FA5478"/>
    <w:lvl w:ilvl="0" w:tplc="80FE2F9C">
      <w:start w:val="4"/>
      <w:numFmt w:val="decimal"/>
      <w:lvlText w:val="%1."/>
      <w:lvlJc w:val="left"/>
      <w:pPr>
        <w:ind w:left="721"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52D629B4"/>
    <w:multiLevelType w:val="hybridMultilevel"/>
    <w:tmpl w:val="FCE47200"/>
    <w:lvl w:ilvl="0" w:tplc="0C09000F">
      <w:start w:val="1"/>
      <w:numFmt w:val="decimal"/>
      <w:lvlText w:val="%1."/>
      <w:lvlJc w:val="left"/>
      <w:pPr>
        <w:ind w:left="721" w:hanging="360"/>
      </w:pPr>
      <w:rPr>
        <w:rFonts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9">
    <w:nsid w:val="5B7972C9"/>
    <w:multiLevelType w:val="hybridMultilevel"/>
    <w:tmpl w:val="9DBCE6A8"/>
    <w:lvl w:ilvl="0" w:tplc="0C09000F">
      <w:start w:val="1"/>
      <w:numFmt w:val="decimal"/>
      <w:lvlText w:val="%1."/>
      <w:lvlJc w:val="left"/>
      <w:pPr>
        <w:ind w:left="721" w:hanging="360"/>
      </w:pPr>
      <w:rPr>
        <w:rFonts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0">
    <w:nsid w:val="673652C4"/>
    <w:multiLevelType w:val="hybridMultilevel"/>
    <w:tmpl w:val="7F7AE882"/>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1">
    <w:nsid w:val="6E2C592F"/>
    <w:multiLevelType w:val="hybridMultilevel"/>
    <w:tmpl w:val="785E1EB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7CE605B"/>
    <w:multiLevelType w:val="hybridMultilevel"/>
    <w:tmpl w:val="A2981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0A6EDC"/>
    <w:multiLevelType w:val="hybridMultilevel"/>
    <w:tmpl w:val="765AC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846467"/>
    <w:multiLevelType w:val="hybridMultilevel"/>
    <w:tmpl w:val="18DABB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nsid w:val="7B653677"/>
    <w:multiLevelType w:val="hybridMultilevel"/>
    <w:tmpl w:val="77F6A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C1D2CC6"/>
    <w:multiLevelType w:val="hybridMultilevel"/>
    <w:tmpl w:val="120E1B82"/>
    <w:lvl w:ilvl="0" w:tplc="1EEC8A52">
      <w:numFmt w:val="bullet"/>
      <w:lvlText w:val=""/>
      <w:lvlJc w:val="left"/>
      <w:pPr>
        <w:ind w:left="774" w:hanging="360"/>
      </w:pPr>
      <w:rPr>
        <w:rFonts w:ascii="Calibri" w:eastAsiaTheme="minorEastAsia" w:hAnsi="Calibri" w:cs="Calibri"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7">
    <w:nsid w:val="7E4B66F0"/>
    <w:multiLevelType w:val="hybridMultilevel"/>
    <w:tmpl w:val="A9F6B20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8">
    <w:nsid w:val="7ED05243"/>
    <w:multiLevelType w:val="hybridMultilevel"/>
    <w:tmpl w:val="4170EA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6"/>
  </w:num>
  <w:num w:numId="3">
    <w:abstractNumId w:val="37"/>
  </w:num>
  <w:num w:numId="4">
    <w:abstractNumId w:val="29"/>
  </w:num>
  <w:num w:numId="5">
    <w:abstractNumId w:val="12"/>
  </w:num>
  <w:num w:numId="6">
    <w:abstractNumId w:val="32"/>
  </w:num>
  <w:num w:numId="7">
    <w:abstractNumId w:val="33"/>
  </w:num>
  <w:num w:numId="8">
    <w:abstractNumId w:val="28"/>
  </w:num>
  <w:num w:numId="9">
    <w:abstractNumId w:val="4"/>
  </w:num>
  <w:num w:numId="10">
    <w:abstractNumId w:val="13"/>
  </w:num>
  <w:num w:numId="11">
    <w:abstractNumId w:val="5"/>
  </w:num>
  <w:num w:numId="12">
    <w:abstractNumId w:val="31"/>
  </w:num>
  <w:num w:numId="13">
    <w:abstractNumId w:val="35"/>
  </w:num>
  <w:num w:numId="14">
    <w:abstractNumId w:val="3"/>
  </w:num>
  <w:num w:numId="15">
    <w:abstractNumId w:val="30"/>
  </w:num>
  <w:num w:numId="16">
    <w:abstractNumId w:val="8"/>
  </w:num>
  <w:num w:numId="17">
    <w:abstractNumId w:val="7"/>
  </w:num>
  <w:num w:numId="18">
    <w:abstractNumId w:val="16"/>
  </w:num>
  <w:num w:numId="19">
    <w:abstractNumId w:val="9"/>
  </w:num>
  <w:num w:numId="20">
    <w:abstractNumId w:val="19"/>
  </w:num>
  <w:num w:numId="21">
    <w:abstractNumId w:val="0"/>
  </w:num>
  <w:num w:numId="22">
    <w:abstractNumId w:val="27"/>
  </w:num>
  <w:num w:numId="23">
    <w:abstractNumId w:val="22"/>
  </w:num>
  <w:num w:numId="24">
    <w:abstractNumId w:val="23"/>
  </w:num>
  <w:num w:numId="25">
    <w:abstractNumId w:val="36"/>
  </w:num>
  <w:num w:numId="26">
    <w:abstractNumId w:val="34"/>
  </w:num>
  <w:num w:numId="27">
    <w:abstractNumId w:val="14"/>
  </w:num>
  <w:num w:numId="28">
    <w:abstractNumId w:val="18"/>
  </w:num>
  <w:num w:numId="29">
    <w:abstractNumId w:val="21"/>
  </w:num>
  <w:num w:numId="30">
    <w:abstractNumId w:val="1"/>
  </w:num>
  <w:num w:numId="31">
    <w:abstractNumId w:val="38"/>
  </w:num>
  <w:num w:numId="32">
    <w:abstractNumId w:val="2"/>
  </w:num>
  <w:num w:numId="33">
    <w:abstractNumId w:val="15"/>
  </w:num>
  <w:num w:numId="34">
    <w:abstractNumId w:val="17"/>
  </w:num>
  <w:num w:numId="35">
    <w:abstractNumId w:val="24"/>
  </w:num>
  <w:num w:numId="36">
    <w:abstractNumId w:val="20"/>
  </w:num>
  <w:num w:numId="37">
    <w:abstractNumId w:val="25"/>
  </w:num>
  <w:num w:numId="38">
    <w:abstractNumId w:val="10"/>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6BC"/>
    <w:rsid w:val="00006226"/>
    <w:rsid w:val="000138B3"/>
    <w:rsid w:val="000A0E38"/>
    <w:rsid w:val="000A3C4F"/>
    <w:rsid w:val="000B443E"/>
    <w:rsid w:val="001071A0"/>
    <w:rsid w:val="001071FB"/>
    <w:rsid w:val="00113171"/>
    <w:rsid w:val="001712DA"/>
    <w:rsid w:val="0019279F"/>
    <w:rsid w:val="00206C4D"/>
    <w:rsid w:val="002161CB"/>
    <w:rsid w:val="00276342"/>
    <w:rsid w:val="00285D83"/>
    <w:rsid w:val="002C00E3"/>
    <w:rsid w:val="002D6EA2"/>
    <w:rsid w:val="00314BBD"/>
    <w:rsid w:val="0033787E"/>
    <w:rsid w:val="003563BF"/>
    <w:rsid w:val="00382C99"/>
    <w:rsid w:val="003B638D"/>
    <w:rsid w:val="004070E7"/>
    <w:rsid w:val="00411E9D"/>
    <w:rsid w:val="004142EE"/>
    <w:rsid w:val="00431528"/>
    <w:rsid w:val="004B6E2C"/>
    <w:rsid w:val="004C0059"/>
    <w:rsid w:val="004C320E"/>
    <w:rsid w:val="004F077D"/>
    <w:rsid w:val="004F296F"/>
    <w:rsid w:val="0050331B"/>
    <w:rsid w:val="00511785"/>
    <w:rsid w:val="00511FCB"/>
    <w:rsid w:val="00515C55"/>
    <w:rsid w:val="00584670"/>
    <w:rsid w:val="00591BD1"/>
    <w:rsid w:val="005C250A"/>
    <w:rsid w:val="005D0C55"/>
    <w:rsid w:val="00620021"/>
    <w:rsid w:val="00637258"/>
    <w:rsid w:val="006C2CDB"/>
    <w:rsid w:val="006D4283"/>
    <w:rsid w:val="00706C6A"/>
    <w:rsid w:val="00712421"/>
    <w:rsid w:val="00745153"/>
    <w:rsid w:val="0076310B"/>
    <w:rsid w:val="00764B13"/>
    <w:rsid w:val="007748D7"/>
    <w:rsid w:val="00777F30"/>
    <w:rsid w:val="00785603"/>
    <w:rsid w:val="007A31E9"/>
    <w:rsid w:val="007A4944"/>
    <w:rsid w:val="007B4B71"/>
    <w:rsid w:val="00800428"/>
    <w:rsid w:val="00810F72"/>
    <w:rsid w:val="00830967"/>
    <w:rsid w:val="00891C27"/>
    <w:rsid w:val="008A1DDB"/>
    <w:rsid w:val="008C426D"/>
    <w:rsid w:val="008E56DF"/>
    <w:rsid w:val="008F7B7E"/>
    <w:rsid w:val="00906307"/>
    <w:rsid w:val="00925AAC"/>
    <w:rsid w:val="0094422D"/>
    <w:rsid w:val="0099297D"/>
    <w:rsid w:val="00997120"/>
    <w:rsid w:val="009A16BC"/>
    <w:rsid w:val="009C799A"/>
    <w:rsid w:val="009D1340"/>
    <w:rsid w:val="00A409B5"/>
    <w:rsid w:val="00A541D1"/>
    <w:rsid w:val="00A57D20"/>
    <w:rsid w:val="00A96683"/>
    <w:rsid w:val="00AB4FFA"/>
    <w:rsid w:val="00AB6AA9"/>
    <w:rsid w:val="00AC16A7"/>
    <w:rsid w:val="00AC3275"/>
    <w:rsid w:val="00AC3C08"/>
    <w:rsid w:val="00AC762D"/>
    <w:rsid w:val="00AD3039"/>
    <w:rsid w:val="00B0530F"/>
    <w:rsid w:val="00B06992"/>
    <w:rsid w:val="00B13116"/>
    <w:rsid w:val="00B21E00"/>
    <w:rsid w:val="00B64877"/>
    <w:rsid w:val="00B701A0"/>
    <w:rsid w:val="00B962E1"/>
    <w:rsid w:val="00BA10F0"/>
    <w:rsid w:val="00C46EB7"/>
    <w:rsid w:val="00C47858"/>
    <w:rsid w:val="00C52CCB"/>
    <w:rsid w:val="00C66BFD"/>
    <w:rsid w:val="00C67872"/>
    <w:rsid w:val="00C72E1E"/>
    <w:rsid w:val="00CC7945"/>
    <w:rsid w:val="00D35CDB"/>
    <w:rsid w:val="00D37647"/>
    <w:rsid w:val="00D74895"/>
    <w:rsid w:val="00D87247"/>
    <w:rsid w:val="00D90C87"/>
    <w:rsid w:val="00D90FC1"/>
    <w:rsid w:val="00D97150"/>
    <w:rsid w:val="00D97E42"/>
    <w:rsid w:val="00DD0298"/>
    <w:rsid w:val="00E27336"/>
    <w:rsid w:val="00E41373"/>
    <w:rsid w:val="00E56524"/>
    <w:rsid w:val="00E706E9"/>
    <w:rsid w:val="00E811A1"/>
    <w:rsid w:val="00E91773"/>
    <w:rsid w:val="00EA21D7"/>
    <w:rsid w:val="00ED38D7"/>
    <w:rsid w:val="00F32192"/>
    <w:rsid w:val="00F400C2"/>
    <w:rsid w:val="00FB5203"/>
    <w:rsid w:val="00FE15DD"/>
    <w:rsid w:val="00FE28C3"/>
    <w:rsid w:val="00FE36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BC"/>
    <w:pPr>
      <w:spacing w:after="200" w:line="276" w:lineRule="auto"/>
    </w:pPr>
    <w:rPr>
      <w:rFonts w:ascii="Calibri" w:eastAsiaTheme="minorEastAsia" w:hAnsi="Calibri"/>
      <w:szCs w:val="24"/>
    </w:rPr>
  </w:style>
  <w:style w:type="paragraph" w:styleId="Heading1">
    <w:name w:val="heading 1"/>
    <w:basedOn w:val="Normal"/>
    <w:next w:val="Normal"/>
    <w:link w:val="Heading1Char"/>
    <w:uiPriority w:val="9"/>
    <w:qFormat/>
    <w:rsid w:val="00AB4FFA"/>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A16BC"/>
    <w:pPr>
      <w:keepNext/>
      <w:keepLines/>
      <w:spacing w:before="240" w:after="240"/>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9A16B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413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B4FF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FFA"/>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9A16BC"/>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9A16BC"/>
    <w:rPr>
      <w:rFonts w:asciiTheme="majorHAnsi" w:eastAsiaTheme="majorEastAsia" w:hAnsiTheme="majorHAnsi" w:cstheme="majorBidi"/>
      <w:b/>
      <w:bCs/>
      <w:color w:val="5B9BD5" w:themeColor="accent1"/>
      <w:szCs w:val="24"/>
    </w:rPr>
  </w:style>
  <w:style w:type="character" w:customStyle="1" w:styleId="Heading4Char">
    <w:name w:val="Heading 4 Char"/>
    <w:basedOn w:val="DefaultParagraphFont"/>
    <w:link w:val="Heading4"/>
    <w:uiPriority w:val="9"/>
    <w:rsid w:val="00E41373"/>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uiPriority w:val="9"/>
    <w:rsid w:val="00AB4FFA"/>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34"/>
    <w:qFormat/>
    <w:rsid w:val="009A16BC"/>
    <w:pPr>
      <w:ind w:left="720"/>
      <w:contextualSpacing/>
    </w:pPr>
  </w:style>
  <w:style w:type="paragraph" w:customStyle="1" w:styleId="Tableheading">
    <w:name w:val="Table heading"/>
    <w:basedOn w:val="Normal"/>
    <w:next w:val="Normal"/>
    <w:link w:val="TableheadingChar"/>
    <w:qFormat/>
    <w:rsid w:val="009A16BC"/>
    <w:pPr>
      <w:keepNext/>
      <w:tabs>
        <w:tab w:val="left" w:pos="426"/>
      </w:tabs>
      <w:spacing w:after="0"/>
    </w:pPr>
    <w:rPr>
      <w:rFonts w:asciiTheme="majorHAnsi" w:hAnsiTheme="majorHAnsi" w:cstheme="majorHAnsi"/>
      <w:b/>
      <w:color w:val="000000"/>
      <w:sz w:val="20"/>
    </w:rPr>
  </w:style>
  <w:style w:type="character" w:customStyle="1" w:styleId="TableheadingChar">
    <w:name w:val="Table heading Char"/>
    <w:basedOn w:val="DefaultParagraphFont"/>
    <w:link w:val="Tableheading"/>
    <w:rsid w:val="009A16BC"/>
    <w:rPr>
      <w:rFonts w:asciiTheme="majorHAnsi" w:eastAsiaTheme="minorEastAsia" w:hAnsiTheme="majorHAnsi" w:cstheme="majorHAnsi"/>
      <w:b/>
      <w:color w:val="000000"/>
      <w:sz w:val="20"/>
      <w:szCs w:val="24"/>
    </w:rPr>
  </w:style>
  <w:style w:type="paragraph" w:customStyle="1" w:styleId="Figureheading">
    <w:name w:val="Figure heading"/>
    <w:basedOn w:val="Normal"/>
    <w:link w:val="FigureheadingChar"/>
    <w:qFormat/>
    <w:rsid w:val="00C66BFD"/>
    <w:pPr>
      <w:keepNext/>
      <w:spacing w:after="0"/>
    </w:pPr>
    <w:rPr>
      <w:b/>
      <w:sz w:val="20"/>
      <w:lang w:val="en-US" w:eastAsia="en-AU"/>
    </w:rPr>
  </w:style>
  <w:style w:type="character" w:customStyle="1" w:styleId="FigureheadingChar">
    <w:name w:val="Figure heading Char"/>
    <w:basedOn w:val="DefaultParagraphFont"/>
    <w:link w:val="Figureheading"/>
    <w:rsid w:val="00C66BFD"/>
    <w:rPr>
      <w:rFonts w:ascii="Calibri" w:eastAsiaTheme="minorEastAsia" w:hAnsi="Calibri"/>
      <w:b/>
      <w:sz w:val="20"/>
      <w:szCs w:val="24"/>
      <w:lang w:val="en-US" w:eastAsia="en-AU"/>
    </w:rPr>
  </w:style>
  <w:style w:type="table" w:customStyle="1" w:styleId="LightList-Accent11">
    <w:name w:val="Light List - Accent 11"/>
    <w:basedOn w:val="TableNormal"/>
    <w:uiPriority w:val="61"/>
    <w:rsid w:val="009A16BC"/>
    <w:pPr>
      <w:spacing w:after="0" w:line="240" w:lineRule="auto"/>
    </w:pPr>
    <w:rPr>
      <w:rFonts w:eastAsiaTheme="minorEastAsia"/>
      <w:sz w:val="24"/>
      <w:szCs w:val="24"/>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59"/>
    <w:rsid w:val="009A16B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16BC"/>
    <w:rPr>
      <w:b/>
      <w:bCs/>
    </w:rPr>
  </w:style>
  <w:style w:type="table" w:customStyle="1" w:styleId="GridTable4-Accent11">
    <w:name w:val="Grid Table 4 - Accent 11"/>
    <w:basedOn w:val="TableNormal"/>
    <w:uiPriority w:val="49"/>
    <w:rsid w:val="009A16B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777F30"/>
    <w:pPr>
      <w:spacing w:before="100" w:beforeAutospacing="1" w:after="100" w:afterAutospacing="1" w:line="240" w:lineRule="auto"/>
    </w:pPr>
    <w:rPr>
      <w:rFonts w:ascii="Times New Roman" w:hAnsi="Times New Roman" w:cs="Times New Roman"/>
      <w:sz w:val="24"/>
      <w:lang w:eastAsia="en-AU"/>
    </w:rPr>
  </w:style>
  <w:style w:type="paragraph" w:styleId="Header">
    <w:name w:val="header"/>
    <w:basedOn w:val="Normal"/>
    <w:link w:val="HeaderChar"/>
    <w:uiPriority w:val="99"/>
    <w:unhideWhenUsed/>
    <w:rsid w:val="00206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C4D"/>
    <w:rPr>
      <w:rFonts w:ascii="Calibri" w:eastAsiaTheme="minorEastAsia" w:hAnsi="Calibri"/>
      <w:szCs w:val="24"/>
    </w:rPr>
  </w:style>
  <w:style w:type="paragraph" w:styleId="Footer">
    <w:name w:val="footer"/>
    <w:basedOn w:val="Normal"/>
    <w:link w:val="FooterChar"/>
    <w:uiPriority w:val="99"/>
    <w:unhideWhenUsed/>
    <w:rsid w:val="00206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C4D"/>
    <w:rPr>
      <w:rFonts w:ascii="Calibri" w:eastAsiaTheme="minorEastAsia" w:hAnsi="Calibri"/>
      <w:szCs w:val="24"/>
    </w:rPr>
  </w:style>
  <w:style w:type="character" w:styleId="Hyperlink">
    <w:name w:val="Hyperlink"/>
    <w:basedOn w:val="DefaultParagraphFont"/>
    <w:uiPriority w:val="99"/>
    <w:unhideWhenUsed/>
    <w:rsid w:val="00E41373"/>
    <w:rPr>
      <w:color w:val="0563C1" w:themeColor="hyperlink"/>
      <w:u w:val="single"/>
    </w:rPr>
  </w:style>
  <w:style w:type="paragraph" w:styleId="FootnoteText">
    <w:name w:val="footnote text"/>
    <w:basedOn w:val="Normal"/>
    <w:link w:val="FootnoteTextChar"/>
    <w:uiPriority w:val="99"/>
    <w:unhideWhenUsed/>
    <w:rsid w:val="00E41373"/>
    <w:pPr>
      <w:spacing w:after="0" w:line="240" w:lineRule="auto"/>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E41373"/>
    <w:rPr>
      <w:sz w:val="20"/>
      <w:szCs w:val="20"/>
    </w:rPr>
  </w:style>
  <w:style w:type="character" w:styleId="FootnoteReference">
    <w:name w:val="footnote reference"/>
    <w:basedOn w:val="DefaultParagraphFont"/>
    <w:uiPriority w:val="99"/>
    <w:unhideWhenUsed/>
    <w:rsid w:val="00E41373"/>
    <w:rPr>
      <w:vertAlign w:val="superscript"/>
    </w:rPr>
  </w:style>
  <w:style w:type="paragraph" w:styleId="BodyTextIndent2">
    <w:name w:val="Body Text Indent 2"/>
    <w:basedOn w:val="Normal"/>
    <w:link w:val="BodyTextIndent2Char"/>
    <w:rsid w:val="00AB4FFA"/>
    <w:pPr>
      <w:tabs>
        <w:tab w:val="left" w:pos="4111"/>
      </w:tabs>
      <w:ind w:firstLine="1"/>
    </w:pPr>
    <w:rPr>
      <w:rFonts w:eastAsia="Times New Roman" w:cs="Times New Roman"/>
      <w:szCs w:val="20"/>
      <w:lang w:val="en-US" w:eastAsia="en-AU"/>
    </w:rPr>
  </w:style>
  <w:style w:type="character" w:customStyle="1" w:styleId="BodyTextIndent2Char">
    <w:name w:val="Body Text Indent 2 Char"/>
    <w:basedOn w:val="DefaultParagraphFont"/>
    <w:link w:val="BodyTextIndent2"/>
    <w:rsid w:val="00AB4FFA"/>
    <w:rPr>
      <w:rFonts w:ascii="Calibri" w:eastAsia="Times New Roman" w:hAnsi="Calibri" w:cs="Times New Roman"/>
      <w:szCs w:val="20"/>
      <w:lang w:val="en-US" w:eastAsia="en-AU"/>
    </w:rPr>
  </w:style>
  <w:style w:type="character" w:styleId="PageNumber">
    <w:name w:val="page number"/>
    <w:basedOn w:val="DefaultParagraphFont"/>
    <w:rsid w:val="00AB4FFA"/>
  </w:style>
  <w:style w:type="table" w:customStyle="1" w:styleId="LightShading-Accent11">
    <w:name w:val="Light Shading - Accent 11"/>
    <w:basedOn w:val="TableNormal"/>
    <w:uiPriority w:val="60"/>
    <w:rsid w:val="00AB4FFA"/>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AB4FFA"/>
    <w:rPr>
      <w:rFonts w:ascii="Tahoma" w:hAnsi="Tahoma" w:cs="Tahoma"/>
      <w:sz w:val="16"/>
      <w:szCs w:val="16"/>
    </w:rPr>
  </w:style>
  <w:style w:type="character" w:customStyle="1" w:styleId="BalloonTextChar">
    <w:name w:val="Balloon Text Char"/>
    <w:basedOn w:val="DefaultParagraphFont"/>
    <w:link w:val="BalloonText"/>
    <w:uiPriority w:val="99"/>
    <w:semiHidden/>
    <w:rsid w:val="00AB4FFA"/>
    <w:rPr>
      <w:rFonts w:ascii="Tahoma" w:eastAsiaTheme="minorEastAsia" w:hAnsi="Tahoma" w:cs="Tahoma"/>
      <w:sz w:val="16"/>
      <w:szCs w:val="16"/>
    </w:rPr>
  </w:style>
  <w:style w:type="paragraph" w:styleId="TOC1">
    <w:name w:val="toc 1"/>
    <w:basedOn w:val="Normal"/>
    <w:next w:val="Normal"/>
    <w:autoRedefine/>
    <w:uiPriority w:val="39"/>
    <w:unhideWhenUsed/>
    <w:rsid w:val="00AB4FFA"/>
    <w:pPr>
      <w:tabs>
        <w:tab w:val="right" w:leader="dot" w:pos="9350"/>
      </w:tabs>
      <w:spacing w:after="0"/>
      <w:ind w:left="709" w:hanging="709"/>
    </w:pPr>
  </w:style>
  <w:style w:type="paragraph" w:styleId="TOC2">
    <w:name w:val="toc 2"/>
    <w:basedOn w:val="Normal"/>
    <w:next w:val="Normal"/>
    <w:autoRedefine/>
    <w:uiPriority w:val="39"/>
    <w:unhideWhenUsed/>
    <w:rsid w:val="00AB4FFA"/>
    <w:pPr>
      <w:spacing w:after="100"/>
      <w:ind w:left="240"/>
    </w:pPr>
  </w:style>
  <w:style w:type="paragraph" w:styleId="TOC3">
    <w:name w:val="toc 3"/>
    <w:basedOn w:val="Normal"/>
    <w:next w:val="Normal"/>
    <w:autoRedefine/>
    <w:uiPriority w:val="39"/>
    <w:unhideWhenUsed/>
    <w:rsid w:val="00AB4FFA"/>
    <w:pPr>
      <w:spacing w:after="100"/>
      <w:ind w:left="480"/>
    </w:pPr>
  </w:style>
  <w:style w:type="character" w:styleId="Emphasis">
    <w:name w:val="Emphasis"/>
    <w:basedOn w:val="DefaultParagraphFont"/>
    <w:uiPriority w:val="20"/>
    <w:qFormat/>
    <w:rsid w:val="00AB4FFA"/>
    <w:rPr>
      <w:i/>
      <w:iCs/>
    </w:rPr>
  </w:style>
  <w:style w:type="character" w:styleId="IntenseEmphasis">
    <w:name w:val="Intense Emphasis"/>
    <w:basedOn w:val="DefaultParagraphFont"/>
    <w:uiPriority w:val="21"/>
    <w:qFormat/>
    <w:rsid w:val="00AB4FFA"/>
    <w:rPr>
      <w:b/>
      <w:bCs/>
      <w:i/>
      <w:iCs/>
      <w:color w:val="5B9BD5" w:themeColor="accent1"/>
    </w:rPr>
  </w:style>
  <w:style w:type="table" w:customStyle="1" w:styleId="LightList-Accent14">
    <w:name w:val="Light List - Accent 14"/>
    <w:basedOn w:val="TableNormal"/>
    <w:next w:val="LightList-Accent11"/>
    <w:uiPriority w:val="61"/>
    <w:rsid w:val="00AB4FFA"/>
    <w:pPr>
      <w:spacing w:after="0" w:line="240" w:lineRule="auto"/>
    </w:pPr>
    <w:rPr>
      <w:rFonts w:eastAsia="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mmentTextChar">
    <w:name w:val="Comment Text Char"/>
    <w:basedOn w:val="DefaultParagraphFont"/>
    <w:link w:val="CommentText"/>
    <w:uiPriority w:val="99"/>
    <w:semiHidden/>
    <w:rsid w:val="00AB4FFA"/>
    <w:rPr>
      <w:rFonts w:ascii="Calibri" w:eastAsiaTheme="minorEastAsia" w:hAnsi="Calibri"/>
      <w:sz w:val="20"/>
      <w:szCs w:val="20"/>
    </w:rPr>
  </w:style>
  <w:style w:type="paragraph" w:styleId="CommentText">
    <w:name w:val="annotation text"/>
    <w:basedOn w:val="Normal"/>
    <w:link w:val="CommentTextChar"/>
    <w:uiPriority w:val="99"/>
    <w:semiHidden/>
    <w:unhideWhenUsed/>
    <w:rsid w:val="00AB4FFA"/>
    <w:pPr>
      <w:spacing w:line="240" w:lineRule="auto"/>
    </w:pPr>
    <w:rPr>
      <w:sz w:val="20"/>
      <w:szCs w:val="20"/>
    </w:rPr>
  </w:style>
  <w:style w:type="character" w:customStyle="1" w:styleId="CommentSubjectChar">
    <w:name w:val="Comment Subject Char"/>
    <w:basedOn w:val="CommentTextChar"/>
    <w:link w:val="CommentSubject"/>
    <w:uiPriority w:val="99"/>
    <w:semiHidden/>
    <w:rsid w:val="00AB4FFA"/>
    <w:rPr>
      <w:rFonts w:ascii="Calibri" w:eastAsiaTheme="minorEastAsia" w:hAnsi="Calibri"/>
      <w:b/>
      <w:bCs/>
      <w:sz w:val="20"/>
      <w:szCs w:val="20"/>
    </w:rPr>
  </w:style>
  <w:style w:type="paragraph" w:styleId="CommentSubject">
    <w:name w:val="annotation subject"/>
    <w:basedOn w:val="CommentText"/>
    <w:next w:val="CommentText"/>
    <w:link w:val="CommentSubjectChar"/>
    <w:uiPriority w:val="99"/>
    <w:semiHidden/>
    <w:unhideWhenUsed/>
    <w:rsid w:val="00AB4FFA"/>
    <w:rPr>
      <w:b/>
      <w:bCs/>
    </w:rPr>
  </w:style>
  <w:style w:type="paragraph" w:styleId="DocumentMap">
    <w:name w:val="Document Map"/>
    <w:basedOn w:val="Normal"/>
    <w:link w:val="DocumentMapChar"/>
    <w:uiPriority w:val="99"/>
    <w:semiHidden/>
    <w:unhideWhenUsed/>
    <w:rsid w:val="00AB4FF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4FFA"/>
    <w:rPr>
      <w:rFonts w:ascii="Tahoma" w:eastAsiaTheme="minorEastAsia" w:hAnsi="Tahoma" w:cs="Tahoma"/>
      <w:sz w:val="16"/>
      <w:szCs w:val="16"/>
    </w:rPr>
  </w:style>
  <w:style w:type="paragraph" w:customStyle="1" w:styleId="Sources">
    <w:name w:val="Sources"/>
    <w:basedOn w:val="Normal"/>
    <w:next w:val="Normal"/>
    <w:link w:val="SourcesChar"/>
    <w:qFormat/>
    <w:rsid w:val="00AB4FFA"/>
    <w:pPr>
      <w:spacing w:after="0" w:line="240" w:lineRule="auto"/>
    </w:pPr>
    <w:rPr>
      <w:rFonts w:asciiTheme="minorHAnsi" w:eastAsiaTheme="minorHAnsi" w:hAnsiTheme="minorHAnsi"/>
      <w:sz w:val="18"/>
      <w:szCs w:val="18"/>
    </w:rPr>
  </w:style>
  <w:style w:type="character" w:customStyle="1" w:styleId="SourcesChar">
    <w:name w:val="Sources Char"/>
    <w:basedOn w:val="DefaultParagraphFont"/>
    <w:link w:val="Sources"/>
    <w:rsid w:val="00AB4FFA"/>
    <w:rPr>
      <w:sz w:val="18"/>
      <w:szCs w:val="18"/>
    </w:rPr>
  </w:style>
  <w:style w:type="table" w:styleId="LightList-Accent1">
    <w:name w:val="Light List Accent 1"/>
    <w:basedOn w:val="TableNormal"/>
    <w:uiPriority w:val="61"/>
    <w:rsid w:val="00AB4FF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basedOn w:val="Normal"/>
    <w:next w:val="Normal"/>
    <w:link w:val="TitleChar"/>
    <w:uiPriority w:val="10"/>
    <w:qFormat/>
    <w:rsid w:val="00B053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530F"/>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basedOn w:val="DefaultParagraphFont"/>
    <w:uiPriority w:val="99"/>
    <w:semiHidden/>
    <w:unhideWhenUsed/>
    <w:rsid w:val="002D6EA2"/>
    <w:rPr>
      <w:sz w:val="16"/>
      <w:szCs w:val="16"/>
    </w:rPr>
  </w:style>
  <w:style w:type="paragraph" w:styleId="Revision">
    <w:name w:val="Revision"/>
    <w:hidden/>
    <w:uiPriority w:val="99"/>
    <w:semiHidden/>
    <w:rsid w:val="002D6EA2"/>
    <w:pPr>
      <w:spacing w:after="0" w:line="240" w:lineRule="auto"/>
    </w:pPr>
    <w:rPr>
      <w:rFonts w:ascii="Calibri" w:eastAsiaTheme="minorEastAsia"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6BC"/>
    <w:pPr>
      <w:spacing w:after="200" w:line="276" w:lineRule="auto"/>
    </w:pPr>
    <w:rPr>
      <w:rFonts w:ascii="Calibri" w:eastAsiaTheme="minorEastAsia" w:hAnsi="Calibri"/>
      <w:szCs w:val="24"/>
    </w:rPr>
  </w:style>
  <w:style w:type="paragraph" w:styleId="Heading1">
    <w:name w:val="heading 1"/>
    <w:basedOn w:val="Normal"/>
    <w:next w:val="Normal"/>
    <w:link w:val="Heading1Char"/>
    <w:uiPriority w:val="9"/>
    <w:qFormat/>
    <w:rsid w:val="00AB4FFA"/>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A16BC"/>
    <w:pPr>
      <w:keepNext/>
      <w:keepLines/>
      <w:spacing w:before="240" w:after="240"/>
      <w:outlineLvl w:val="1"/>
    </w:pPr>
    <w:rPr>
      <w:rFonts w:asciiTheme="majorHAnsi" w:eastAsiaTheme="majorEastAsia" w:hAnsiTheme="majorHAnsi" w:cstheme="majorBidi"/>
      <w:b/>
      <w:bCs/>
      <w:color w:val="2E74B5" w:themeColor="accent1" w:themeShade="BF"/>
      <w:sz w:val="26"/>
      <w:szCs w:val="26"/>
    </w:rPr>
  </w:style>
  <w:style w:type="paragraph" w:styleId="Heading3">
    <w:name w:val="heading 3"/>
    <w:basedOn w:val="Normal"/>
    <w:next w:val="Normal"/>
    <w:link w:val="Heading3Char"/>
    <w:uiPriority w:val="9"/>
    <w:unhideWhenUsed/>
    <w:qFormat/>
    <w:rsid w:val="009A16B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413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B4FF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FFA"/>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9A16BC"/>
    <w:rPr>
      <w:rFonts w:asciiTheme="majorHAnsi" w:eastAsiaTheme="majorEastAsia" w:hAnsiTheme="majorHAnsi" w:cstheme="majorBidi"/>
      <w:b/>
      <w:bCs/>
      <w:color w:val="2E74B5" w:themeColor="accent1" w:themeShade="BF"/>
      <w:sz w:val="26"/>
      <w:szCs w:val="26"/>
    </w:rPr>
  </w:style>
  <w:style w:type="character" w:customStyle="1" w:styleId="Heading3Char">
    <w:name w:val="Heading 3 Char"/>
    <w:basedOn w:val="DefaultParagraphFont"/>
    <w:link w:val="Heading3"/>
    <w:uiPriority w:val="9"/>
    <w:rsid w:val="009A16BC"/>
    <w:rPr>
      <w:rFonts w:asciiTheme="majorHAnsi" w:eastAsiaTheme="majorEastAsia" w:hAnsiTheme="majorHAnsi" w:cstheme="majorBidi"/>
      <w:b/>
      <w:bCs/>
      <w:color w:val="5B9BD5" w:themeColor="accent1"/>
      <w:szCs w:val="24"/>
    </w:rPr>
  </w:style>
  <w:style w:type="character" w:customStyle="1" w:styleId="Heading4Char">
    <w:name w:val="Heading 4 Char"/>
    <w:basedOn w:val="DefaultParagraphFont"/>
    <w:link w:val="Heading4"/>
    <w:uiPriority w:val="9"/>
    <w:rsid w:val="00E41373"/>
    <w:rPr>
      <w:rFonts w:asciiTheme="majorHAnsi" w:eastAsiaTheme="majorEastAsia" w:hAnsiTheme="majorHAnsi" w:cstheme="majorBidi"/>
      <w:i/>
      <w:iCs/>
      <w:color w:val="2E74B5" w:themeColor="accent1" w:themeShade="BF"/>
      <w:szCs w:val="24"/>
    </w:rPr>
  </w:style>
  <w:style w:type="character" w:customStyle="1" w:styleId="Heading5Char">
    <w:name w:val="Heading 5 Char"/>
    <w:basedOn w:val="DefaultParagraphFont"/>
    <w:link w:val="Heading5"/>
    <w:uiPriority w:val="9"/>
    <w:rsid w:val="00AB4FFA"/>
    <w:rPr>
      <w:rFonts w:asciiTheme="majorHAnsi" w:eastAsiaTheme="majorEastAsia" w:hAnsiTheme="majorHAnsi" w:cstheme="majorBidi"/>
      <w:color w:val="1F4D78" w:themeColor="accent1" w:themeShade="7F"/>
      <w:szCs w:val="24"/>
    </w:rPr>
  </w:style>
  <w:style w:type="paragraph" w:styleId="ListParagraph">
    <w:name w:val="List Paragraph"/>
    <w:basedOn w:val="Normal"/>
    <w:uiPriority w:val="34"/>
    <w:qFormat/>
    <w:rsid w:val="009A16BC"/>
    <w:pPr>
      <w:ind w:left="720"/>
      <w:contextualSpacing/>
    </w:pPr>
  </w:style>
  <w:style w:type="paragraph" w:customStyle="1" w:styleId="Tableheading">
    <w:name w:val="Table heading"/>
    <w:basedOn w:val="Normal"/>
    <w:next w:val="Normal"/>
    <w:link w:val="TableheadingChar"/>
    <w:qFormat/>
    <w:rsid w:val="009A16BC"/>
    <w:pPr>
      <w:keepNext/>
      <w:tabs>
        <w:tab w:val="left" w:pos="426"/>
      </w:tabs>
      <w:spacing w:after="0"/>
    </w:pPr>
    <w:rPr>
      <w:rFonts w:asciiTheme="majorHAnsi" w:hAnsiTheme="majorHAnsi" w:cstheme="majorHAnsi"/>
      <w:b/>
      <w:color w:val="000000"/>
      <w:sz w:val="20"/>
    </w:rPr>
  </w:style>
  <w:style w:type="character" w:customStyle="1" w:styleId="TableheadingChar">
    <w:name w:val="Table heading Char"/>
    <w:basedOn w:val="DefaultParagraphFont"/>
    <w:link w:val="Tableheading"/>
    <w:rsid w:val="009A16BC"/>
    <w:rPr>
      <w:rFonts w:asciiTheme="majorHAnsi" w:eastAsiaTheme="minorEastAsia" w:hAnsiTheme="majorHAnsi" w:cstheme="majorHAnsi"/>
      <w:b/>
      <w:color w:val="000000"/>
      <w:sz w:val="20"/>
      <w:szCs w:val="24"/>
    </w:rPr>
  </w:style>
  <w:style w:type="paragraph" w:customStyle="1" w:styleId="Figureheading">
    <w:name w:val="Figure heading"/>
    <w:basedOn w:val="Normal"/>
    <w:link w:val="FigureheadingChar"/>
    <w:qFormat/>
    <w:rsid w:val="00C66BFD"/>
    <w:pPr>
      <w:keepNext/>
      <w:spacing w:after="0"/>
    </w:pPr>
    <w:rPr>
      <w:b/>
      <w:sz w:val="20"/>
      <w:lang w:val="en-US" w:eastAsia="en-AU"/>
    </w:rPr>
  </w:style>
  <w:style w:type="character" w:customStyle="1" w:styleId="FigureheadingChar">
    <w:name w:val="Figure heading Char"/>
    <w:basedOn w:val="DefaultParagraphFont"/>
    <w:link w:val="Figureheading"/>
    <w:rsid w:val="00C66BFD"/>
    <w:rPr>
      <w:rFonts w:ascii="Calibri" w:eastAsiaTheme="minorEastAsia" w:hAnsi="Calibri"/>
      <w:b/>
      <w:sz w:val="20"/>
      <w:szCs w:val="24"/>
      <w:lang w:val="en-US" w:eastAsia="en-AU"/>
    </w:rPr>
  </w:style>
  <w:style w:type="table" w:customStyle="1" w:styleId="LightList-Accent11">
    <w:name w:val="Light List - Accent 11"/>
    <w:basedOn w:val="TableNormal"/>
    <w:uiPriority w:val="61"/>
    <w:rsid w:val="009A16BC"/>
    <w:pPr>
      <w:spacing w:after="0" w:line="240" w:lineRule="auto"/>
    </w:pPr>
    <w:rPr>
      <w:rFonts w:eastAsiaTheme="minorEastAsia"/>
      <w:sz w:val="24"/>
      <w:szCs w:val="24"/>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59"/>
    <w:rsid w:val="009A16B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A16BC"/>
    <w:rPr>
      <w:b/>
      <w:bCs/>
    </w:rPr>
  </w:style>
  <w:style w:type="table" w:customStyle="1" w:styleId="GridTable4-Accent11">
    <w:name w:val="Grid Table 4 - Accent 11"/>
    <w:basedOn w:val="TableNormal"/>
    <w:uiPriority w:val="49"/>
    <w:rsid w:val="009A16B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777F30"/>
    <w:pPr>
      <w:spacing w:before="100" w:beforeAutospacing="1" w:after="100" w:afterAutospacing="1" w:line="240" w:lineRule="auto"/>
    </w:pPr>
    <w:rPr>
      <w:rFonts w:ascii="Times New Roman" w:hAnsi="Times New Roman" w:cs="Times New Roman"/>
      <w:sz w:val="24"/>
      <w:lang w:eastAsia="en-AU"/>
    </w:rPr>
  </w:style>
  <w:style w:type="paragraph" w:styleId="Header">
    <w:name w:val="header"/>
    <w:basedOn w:val="Normal"/>
    <w:link w:val="HeaderChar"/>
    <w:uiPriority w:val="99"/>
    <w:unhideWhenUsed/>
    <w:rsid w:val="00206C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C4D"/>
    <w:rPr>
      <w:rFonts w:ascii="Calibri" w:eastAsiaTheme="minorEastAsia" w:hAnsi="Calibri"/>
      <w:szCs w:val="24"/>
    </w:rPr>
  </w:style>
  <w:style w:type="paragraph" w:styleId="Footer">
    <w:name w:val="footer"/>
    <w:basedOn w:val="Normal"/>
    <w:link w:val="FooterChar"/>
    <w:uiPriority w:val="99"/>
    <w:unhideWhenUsed/>
    <w:rsid w:val="00206C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C4D"/>
    <w:rPr>
      <w:rFonts w:ascii="Calibri" w:eastAsiaTheme="minorEastAsia" w:hAnsi="Calibri"/>
      <w:szCs w:val="24"/>
    </w:rPr>
  </w:style>
  <w:style w:type="character" w:styleId="Hyperlink">
    <w:name w:val="Hyperlink"/>
    <w:basedOn w:val="DefaultParagraphFont"/>
    <w:uiPriority w:val="99"/>
    <w:unhideWhenUsed/>
    <w:rsid w:val="00E41373"/>
    <w:rPr>
      <w:color w:val="0563C1" w:themeColor="hyperlink"/>
      <w:u w:val="single"/>
    </w:rPr>
  </w:style>
  <w:style w:type="paragraph" w:styleId="FootnoteText">
    <w:name w:val="footnote text"/>
    <w:basedOn w:val="Normal"/>
    <w:link w:val="FootnoteTextChar"/>
    <w:uiPriority w:val="99"/>
    <w:unhideWhenUsed/>
    <w:rsid w:val="00E41373"/>
    <w:pPr>
      <w:spacing w:after="0" w:line="240" w:lineRule="auto"/>
    </w:pPr>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rsid w:val="00E41373"/>
    <w:rPr>
      <w:sz w:val="20"/>
      <w:szCs w:val="20"/>
    </w:rPr>
  </w:style>
  <w:style w:type="character" w:styleId="FootnoteReference">
    <w:name w:val="footnote reference"/>
    <w:basedOn w:val="DefaultParagraphFont"/>
    <w:uiPriority w:val="99"/>
    <w:unhideWhenUsed/>
    <w:rsid w:val="00E41373"/>
    <w:rPr>
      <w:vertAlign w:val="superscript"/>
    </w:rPr>
  </w:style>
  <w:style w:type="paragraph" w:styleId="BodyTextIndent2">
    <w:name w:val="Body Text Indent 2"/>
    <w:basedOn w:val="Normal"/>
    <w:link w:val="BodyTextIndent2Char"/>
    <w:rsid w:val="00AB4FFA"/>
    <w:pPr>
      <w:tabs>
        <w:tab w:val="left" w:pos="4111"/>
      </w:tabs>
      <w:ind w:firstLine="1"/>
    </w:pPr>
    <w:rPr>
      <w:rFonts w:eastAsia="Times New Roman" w:cs="Times New Roman"/>
      <w:szCs w:val="20"/>
      <w:lang w:val="en-US" w:eastAsia="en-AU"/>
    </w:rPr>
  </w:style>
  <w:style w:type="character" w:customStyle="1" w:styleId="BodyTextIndent2Char">
    <w:name w:val="Body Text Indent 2 Char"/>
    <w:basedOn w:val="DefaultParagraphFont"/>
    <w:link w:val="BodyTextIndent2"/>
    <w:rsid w:val="00AB4FFA"/>
    <w:rPr>
      <w:rFonts w:ascii="Calibri" w:eastAsia="Times New Roman" w:hAnsi="Calibri" w:cs="Times New Roman"/>
      <w:szCs w:val="20"/>
      <w:lang w:val="en-US" w:eastAsia="en-AU"/>
    </w:rPr>
  </w:style>
  <w:style w:type="character" w:styleId="PageNumber">
    <w:name w:val="page number"/>
    <w:basedOn w:val="DefaultParagraphFont"/>
    <w:rsid w:val="00AB4FFA"/>
  </w:style>
  <w:style w:type="table" w:customStyle="1" w:styleId="LightShading-Accent11">
    <w:name w:val="Light Shading - Accent 11"/>
    <w:basedOn w:val="TableNormal"/>
    <w:uiPriority w:val="60"/>
    <w:rsid w:val="00AB4FFA"/>
    <w:pPr>
      <w:spacing w:after="0" w:line="240" w:lineRule="auto"/>
    </w:pPr>
    <w:rPr>
      <w:rFonts w:eastAsiaTheme="minorEastAsia"/>
      <w:color w:val="2E74B5" w:themeColor="accent1" w:themeShade="BF"/>
      <w:sz w:val="24"/>
      <w:szCs w:val="24"/>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AB4FFA"/>
    <w:rPr>
      <w:rFonts w:ascii="Tahoma" w:hAnsi="Tahoma" w:cs="Tahoma"/>
      <w:sz w:val="16"/>
      <w:szCs w:val="16"/>
    </w:rPr>
  </w:style>
  <w:style w:type="character" w:customStyle="1" w:styleId="BalloonTextChar">
    <w:name w:val="Balloon Text Char"/>
    <w:basedOn w:val="DefaultParagraphFont"/>
    <w:link w:val="BalloonText"/>
    <w:uiPriority w:val="99"/>
    <w:semiHidden/>
    <w:rsid w:val="00AB4FFA"/>
    <w:rPr>
      <w:rFonts w:ascii="Tahoma" w:eastAsiaTheme="minorEastAsia" w:hAnsi="Tahoma" w:cs="Tahoma"/>
      <w:sz w:val="16"/>
      <w:szCs w:val="16"/>
    </w:rPr>
  </w:style>
  <w:style w:type="paragraph" w:styleId="TOC1">
    <w:name w:val="toc 1"/>
    <w:basedOn w:val="Normal"/>
    <w:next w:val="Normal"/>
    <w:autoRedefine/>
    <w:uiPriority w:val="39"/>
    <w:unhideWhenUsed/>
    <w:rsid w:val="00AB4FFA"/>
    <w:pPr>
      <w:tabs>
        <w:tab w:val="right" w:leader="dot" w:pos="9350"/>
      </w:tabs>
      <w:spacing w:after="0"/>
      <w:ind w:left="709" w:hanging="709"/>
    </w:pPr>
  </w:style>
  <w:style w:type="paragraph" w:styleId="TOC2">
    <w:name w:val="toc 2"/>
    <w:basedOn w:val="Normal"/>
    <w:next w:val="Normal"/>
    <w:autoRedefine/>
    <w:uiPriority w:val="39"/>
    <w:unhideWhenUsed/>
    <w:rsid w:val="00AB4FFA"/>
    <w:pPr>
      <w:spacing w:after="100"/>
      <w:ind w:left="240"/>
    </w:pPr>
  </w:style>
  <w:style w:type="paragraph" w:styleId="TOC3">
    <w:name w:val="toc 3"/>
    <w:basedOn w:val="Normal"/>
    <w:next w:val="Normal"/>
    <w:autoRedefine/>
    <w:uiPriority w:val="39"/>
    <w:unhideWhenUsed/>
    <w:rsid w:val="00AB4FFA"/>
    <w:pPr>
      <w:spacing w:after="100"/>
      <w:ind w:left="480"/>
    </w:pPr>
  </w:style>
  <w:style w:type="character" w:styleId="Emphasis">
    <w:name w:val="Emphasis"/>
    <w:basedOn w:val="DefaultParagraphFont"/>
    <w:uiPriority w:val="20"/>
    <w:qFormat/>
    <w:rsid w:val="00AB4FFA"/>
    <w:rPr>
      <w:i/>
      <w:iCs/>
    </w:rPr>
  </w:style>
  <w:style w:type="character" w:styleId="IntenseEmphasis">
    <w:name w:val="Intense Emphasis"/>
    <w:basedOn w:val="DefaultParagraphFont"/>
    <w:uiPriority w:val="21"/>
    <w:qFormat/>
    <w:rsid w:val="00AB4FFA"/>
    <w:rPr>
      <w:b/>
      <w:bCs/>
      <w:i/>
      <w:iCs/>
      <w:color w:val="5B9BD5" w:themeColor="accent1"/>
    </w:rPr>
  </w:style>
  <w:style w:type="table" w:customStyle="1" w:styleId="LightList-Accent14">
    <w:name w:val="Light List - Accent 14"/>
    <w:basedOn w:val="TableNormal"/>
    <w:next w:val="LightList-Accent11"/>
    <w:uiPriority w:val="61"/>
    <w:rsid w:val="00AB4FFA"/>
    <w:pPr>
      <w:spacing w:after="0" w:line="240" w:lineRule="auto"/>
    </w:pPr>
    <w:rPr>
      <w:rFonts w:eastAsia="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ommentTextChar">
    <w:name w:val="Comment Text Char"/>
    <w:basedOn w:val="DefaultParagraphFont"/>
    <w:link w:val="CommentText"/>
    <w:uiPriority w:val="99"/>
    <w:semiHidden/>
    <w:rsid w:val="00AB4FFA"/>
    <w:rPr>
      <w:rFonts w:ascii="Calibri" w:eastAsiaTheme="minorEastAsia" w:hAnsi="Calibri"/>
      <w:sz w:val="20"/>
      <w:szCs w:val="20"/>
    </w:rPr>
  </w:style>
  <w:style w:type="paragraph" w:styleId="CommentText">
    <w:name w:val="annotation text"/>
    <w:basedOn w:val="Normal"/>
    <w:link w:val="CommentTextChar"/>
    <w:uiPriority w:val="99"/>
    <w:semiHidden/>
    <w:unhideWhenUsed/>
    <w:rsid w:val="00AB4FFA"/>
    <w:pPr>
      <w:spacing w:line="240" w:lineRule="auto"/>
    </w:pPr>
    <w:rPr>
      <w:sz w:val="20"/>
      <w:szCs w:val="20"/>
    </w:rPr>
  </w:style>
  <w:style w:type="character" w:customStyle="1" w:styleId="CommentSubjectChar">
    <w:name w:val="Comment Subject Char"/>
    <w:basedOn w:val="CommentTextChar"/>
    <w:link w:val="CommentSubject"/>
    <w:uiPriority w:val="99"/>
    <w:semiHidden/>
    <w:rsid w:val="00AB4FFA"/>
    <w:rPr>
      <w:rFonts w:ascii="Calibri" w:eastAsiaTheme="minorEastAsia" w:hAnsi="Calibri"/>
      <w:b/>
      <w:bCs/>
      <w:sz w:val="20"/>
      <w:szCs w:val="20"/>
    </w:rPr>
  </w:style>
  <w:style w:type="paragraph" w:styleId="CommentSubject">
    <w:name w:val="annotation subject"/>
    <w:basedOn w:val="CommentText"/>
    <w:next w:val="CommentText"/>
    <w:link w:val="CommentSubjectChar"/>
    <w:uiPriority w:val="99"/>
    <w:semiHidden/>
    <w:unhideWhenUsed/>
    <w:rsid w:val="00AB4FFA"/>
    <w:rPr>
      <w:b/>
      <w:bCs/>
    </w:rPr>
  </w:style>
  <w:style w:type="paragraph" w:styleId="DocumentMap">
    <w:name w:val="Document Map"/>
    <w:basedOn w:val="Normal"/>
    <w:link w:val="DocumentMapChar"/>
    <w:uiPriority w:val="99"/>
    <w:semiHidden/>
    <w:unhideWhenUsed/>
    <w:rsid w:val="00AB4FF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4FFA"/>
    <w:rPr>
      <w:rFonts w:ascii="Tahoma" w:eastAsiaTheme="minorEastAsia" w:hAnsi="Tahoma" w:cs="Tahoma"/>
      <w:sz w:val="16"/>
      <w:szCs w:val="16"/>
    </w:rPr>
  </w:style>
  <w:style w:type="paragraph" w:customStyle="1" w:styleId="Sources">
    <w:name w:val="Sources"/>
    <w:basedOn w:val="Normal"/>
    <w:next w:val="Normal"/>
    <w:link w:val="SourcesChar"/>
    <w:qFormat/>
    <w:rsid w:val="00AB4FFA"/>
    <w:pPr>
      <w:spacing w:after="0" w:line="240" w:lineRule="auto"/>
    </w:pPr>
    <w:rPr>
      <w:rFonts w:asciiTheme="minorHAnsi" w:eastAsiaTheme="minorHAnsi" w:hAnsiTheme="minorHAnsi"/>
      <w:sz w:val="18"/>
      <w:szCs w:val="18"/>
    </w:rPr>
  </w:style>
  <w:style w:type="character" w:customStyle="1" w:styleId="SourcesChar">
    <w:name w:val="Sources Char"/>
    <w:basedOn w:val="DefaultParagraphFont"/>
    <w:link w:val="Sources"/>
    <w:rsid w:val="00AB4FFA"/>
    <w:rPr>
      <w:sz w:val="18"/>
      <w:szCs w:val="18"/>
    </w:rPr>
  </w:style>
  <w:style w:type="table" w:styleId="LightList-Accent1">
    <w:name w:val="Light List Accent 1"/>
    <w:basedOn w:val="TableNormal"/>
    <w:uiPriority w:val="61"/>
    <w:rsid w:val="00AB4FF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basedOn w:val="Normal"/>
    <w:next w:val="Normal"/>
    <w:link w:val="TitleChar"/>
    <w:uiPriority w:val="10"/>
    <w:qFormat/>
    <w:rsid w:val="00B0530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0530F"/>
    <w:rPr>
      <w:rFonts w:asciiTheme="majorHAnsi" w:eastAsiaTheme="majorEastAsia" w:hAnsiTheme="majorHAnsi" w:cstheme="majorBidi"/>
      <w:color w:val="323E4F" w:themeColor="text2" w:themeShade="BF"/>
      <w:spacing w:val="5"/>
      <w:kern w:val="28"/>
      <w:sz w:val="52"/>
      <w:szCs w:val="52"/>
    </w:rPr>
  </w:style>
  <w:style w:type="character" w:styleId="CommentReference">
    <w:name w:val="annotation reference"/>
    <w:basedOn w:val="DefaultParagraphFont"/>
    <w:uiPriority w:val="99"/>
    <w:semiHidden/>
    <w:unhideWhenUsed/>
    <w:rsid w:val="002D6EA2"/>
    <w:rPr>
      <w:sz w:val="16"/>
      <w:szCs w:val="16"/>
    </w:rPr>
  </w:style>
  <w:style w:type="paragraph" w:styleId="Revision">
    <w:name w:val="Revision"/>
    <w:hidden/>
    <w:uiPriority w:val="99"/>
    <w:semiHidden/>
    <w:rsid w:val="002D6EA2"/>
    <w:pPr>
      <w:spacing w:after="0" w:line="240" w:lineRule="auto"/>
    </w:pPr>
    <w:rPr>
      <w:rFonts w:ascii="Calibri" w:eastAsiaTheme="minorEastAsia"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3072">
      <w:bodyDiv w:val="1"/>
      <w:marLeft w:val="0"/>
      <w:marRight w:val="0"/>
      <w:marTop w:val="0"/>
      <w:marBottom w:val="0"/>
      <w:divBdr>
        <w:top w:val="none" w:sz="0" w:space="0" w:color="auto"/>
        <w:left w:val="none" w:sz="0" w:space="0" w:color="auto"/>
        <w:bottom w:val="none" w:sz="0" w:space="0" w:color="auto"/>
        <w:right w:val="none" w:sz="0" w:space="0" w:color="auto"/>
      </w:divBdr>
    </w:div>
    <w:div w:id="898512796">
      <w:bodyDiv w:val="1"/>
      <w:marLeft w:val="0"/>
      <w:marRight w:val="0"/>
      <w:marTop w:val="0"/>
      <w:marBottom w:val="0"/>
      <w:divBdr>
        <w:top w:val="none" w:sz="0" w:space="0" w:color="auto"/>
        <w:left w:val="none" w:sz="0" w:space="0" w:color="auto"/>
        <w:bottom w:val="none" w:sz="0" w:space="0" w:color="auto"/>
        <w:right w:val="none" w:sz="0" w:space="0" w:color="auto"/>
      </w:divBdr>
    </w:div>
    <w:div w:id="96424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dx.doi.org/10.1016/S0140-6736(15)61340-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www.ilo.org/ilostat/faces/home/statisticaldata?_afrLoop=3064170038134783%23%40%3F_afrLoop%3D3064170038134783%26_adf.ctrl-state%3Dkpuvr3vj9_4" TargetMode="External"/><Relationship Id="rId2" Type="http://schemas.openxmlformats.org/officeDocument/2006/relationships/numbering" Target="numbering.xml"/><Relationship Id="rId16" Type="http://schemas.openxmlformats.org/officeDocument/2006/relationships/hyperlink" Target="http://www.healthdata.org/gbd/data" TargetMode="External"/><Relationship Id="rId20" Type="http://schemas.openxmlformats.org/officeDocument/2006/relationships/hyperlink" Target="http://esa.un.org/unpd/wpp/unpp/panel_populatio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vises.org.au/documents/2014_VISES_Impact_of_Health_on_Productivity.pdf" TargetMode="External"/><Relationship Id="rId4" Type="http://schemas.microsoft.com/office/2007/relationships/stylesWithEffects" Target="stylesWithEffects.xml"/><Relationship Id="rId9" Type="http://schemas.openxmlformats.org/officeDocument/2006/relationships/hyperlink" Target="mailto:bruce.rasmussen@vu.edu.au" TargetMode="Externa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Bruce\Dropbox\A%20%20Current%20documents\ABAC%20Productivity\pension%20study\Copy%20of%20Figure%201-Share%20of%20population%2045%20year%20&amp;%20over%201980-2030-KS-mk.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Bruce\Dropbox\A%20%20Current%20documents\ABAC%20Productivity\pension%20study\Copy%20of%20ILO%20proportion%20of%20LF%20aged%2050-64%20-%2010%20countries-m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ruce\Dropbox\A%20%20Current%20documents\ABAC%20Productivity\pension%20study\Copy%20of%20Copy%20of%20ILO%20proportion%20of%20LF%20aged%2050-64%20-%2010%20countries-mk%20brazil.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Bruce\Dropbox\A%20%20Current%20documents\ABAC%20Productivity\pension%20study\brazil\Copy%20of%20YLD%201990%202010%202nd%20country%20group%20brazil%205%20nov.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Bruce\Dropbox\A%20%20Current%20documents\ABAC%20Productivity\pension%20study\brazil\Brazil%20Copy%20of%20Early%20retirement%20eco%20impact%20model%20rev%2014%20sept%20second%20countries%20br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Brazil!$B$1</c:f>
              <c:strCache>
                <c:ptCount val="1"/>
                <c:pt idx="0">
                  <c:v>1980</c:v>
                </c:pt>
              </c:strCache>
            </c:strRef>
          </c:tx>
          <c:spPr>
            <a:solidFill>
              <a:schemeClr val="accent1"/>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Brazil!$B$4:$B$15</c:f>
              <c:numCache>
                <c:formatCode>0.0</c:formatCode>
                <c:ptCount val="12"/>
                <c:pt idx="0">
                  <c:v>15.679321954894222</c:v>
                </c:pt>
                <c:pt idx="1">
                  <c:v>18.948001355165815</c:v>
                </c:pt>
                <c:pt idx="2">
                  <c:v>13.847732868075079</c:v>
                </c:pt>
                <c:pt idx="3">
                  <c:v>16.236099349652488</c:v>
                </c:pt>
                <c:pt idx="4">
                  <c:v>29.665966583589867</c:v>
                </c:pt>
                <c:pt idx="5">
                  <c:v>13.632754117630258</c:v>
                </c:pt>
                <c:pt idx="6">
                  <c:v>14.560982076667505</c:v>
                </c:pt>
                <c:pt idx="7">
                  <c:v>29.32956962756051</c:v>
                </c:pt>
                <c:pt idx="8">
                  <c:v>14.237643914639738</c:v>
                </c:pt>
                <c:pt idx="9">
                  <c:v>16.952638210889035</c:v>
                </c:pt>
                <c:pt idx="10">
                  <c:v>29.336120049323668</c:v>
                </c:pt>
              </c:numCache>
            </c:numRef>
          </c:val>
        </c:ser>
        <c:ser>
          <c:idx val="1"/>
          <c:order val="1"/>
          <c:tx>
            <c:strRef>
              <c:f>Brazil!$C$1</c:f>
              <c:strCache>
                <c:ptCount val="1"/>
                <c:pt idx="0">
                  <c:v>1985</c:v>
                </c:pt>
              </c:strCache>
            </c:strRef>
          </c:tx>
          <c:spPr>
            <a:solidFill>
              <a:schemeClr val="accent2"/>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Brazil!$C$4:$C$15</c:f>
              <c:numCache>
                <c:formatCode>0.0</c:formatCode>
                <c:ptCount val="12"/>
                <c:pt idx="0">
                  <c:v>16.005146203609989</c:v>
                </c:pt>
                <c:pt idx="1">
                  <c:v>19.529272159863901</c:v>
                </c:pt>
                <c:pt idx="2">
                  <c:v>13.989785969297975</c:v>
                </c:pt>
                <c:pt idx="3">
                  <c:v>16.452484129778718</c:v>
                </c:pt>
                <c:pt idx="4">
                  <c:v>32.536064204789632</c:v>
                </c:pt>
                <c:pt idx="5">
                  <c:v>14.020906963318298</c:v>
                </c:pt>
                <c:pt idx="6">
                  <c:v>14.981926531012888</c:v>
                </c:pt>
                <c:pt idx="7">
                  <c:v>29.165903897843776</c:v>
                </c:pt>
                <c:pt idx="8">
                  <c:v>14.24546530097428</c:v>
                </c:pt>
                <c:pt idx="9">
                  <c:v>17.320325433630764</c:v>
                </c:pt>
                <c:pt idx="10">
                  <c:v>28.932874269067927</c:v>
                </c:pt>
              </c:numCache>
            </c:numRef>
          </c:val>
        </c:ser>
        <c:ser>
          <c:idx val="2"/>
          <c:order val="2"/>
          <c:tx>
            <c:strRef>
              <c:f>Brazil!$D$1</c:f>
              <c:strCache>
                <c:ptCount val="1"/>
                <c:pt idx="0">
                  <c:v>1990</c:v>
                </c:pt>
              </c:strCache>
            </c:strRef>
          </c:tx>
          <c:spPr>
            <a:solidFill>
              <a:schemeClr val="accent3"/>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Brazil!$D$4:$D$15</c:f>
              <c:numCache>
                <c:formatCode>0.0</c:formatCode>
                <c:ptCount val="12"/>
                <c:pt idx="0">
                  <c:v>17.180493835210644</c:v>
                </c:pt>
                <c:pt idx="1">
                  <c:v>20.177583703304425</c:v>
                </c:pt>
                <c:pt idx="2">
                  <c:v>15.050697690910734</c:v>
                </c:pt>
                <c:pt idx="3">
                  <c:v>16.938862795783177</c:v>
                </c:pt>
                <c:pt idx="4">
                  <c:v>37.520486111636558</c:v>
                </c:pt>
                <c:pt idx="5">
                  <c:v>15.419847791170797</c:v>
                </c:pt>
                <c:pt idx="6">
                  <c:v>15.896130058582029</c:v>
                </c:pt>
                <c:pt idx="7">
                  <c:v>29.896326977570396</c:v>
                </c:pt>
                <c:pt idx="8">
                  <c:v>14.919310454104787</c:v>
                </c:pt>
                <c:pt idx="9">
                  <c:v>18.26584896768853</c:v>
                </c:pt>
                <c:pt idx="10">
                  <c:v>31.134800939887459</c:v>
                </c:pt>
              </c:numCache>
            </c:numRef>
          </c:val>
        </c:ser>
        <c:ser>
          <c:idx val="3"/>
          <c:order val="3"/>
          <c:tx>
            <c:strRef>
              <c:f>Brazil!$E$1</c:f>
              <c:strCache>
                <c:ptCount val="1"/>
                <c:pt idx="0">
                  <c:v>1995</c:v>
                </c:pt>
              </c:strCache>
            </c:strRef>
          </c:tx>
          <c:spPr>
            <a:solidFill>
              <a:schemeClr val="accent4"/>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Brazil!$E$4:$E$15</c:f>
              <c:numCache>
                <c:formatCode>0.0</c:formatCode>
                <c:ptCount val="12"/>
                <c:pt idx="0">
                  <c:v>18.658511151164817</c:v>
                </c:pt>
                <c:pt idx="1">
                  <c:v>21.556585298869145</c:v>
                </c:pt>
                <c:pt idx="2">
                  <c:v>16.376065496989042</c:v>
                </c:pt>
                <c:pt idx="3">
                  <c:v>17.22349508368201</c:v>
                </c:pt>
                <c:pt idx="4">
                  <c:v>42.060532582038185</c:v>
                </c:pt>
                <c:pt idx="5">
                  <c:v>16.130161478798257</c:v>
                </c:pt>
                <c:pt idx="6">
                  <c:v>16.731276709001168</c:v>
                </c:pt>
                <c:pt idx="7">
                  <c:v>31.806949389342211</c:v>
                </c:pt>
                <c:pt idx="8">
                  <c:v>16.083828322769723</c:v>
                </c:pt>
                <c:pt idx="9">
                  <c:v>19.063042955234856</c:v>
                </c:pt>
                <c:pt idx="10">
                  <c:v>32.4790300931353</c:v>
                </c:pt>
              </c:numCache>
            </c:numRef>
          </c:val>
        </c:ser>
        <c:ser>
          <c:idx val="4"/>
          <c:order val="4"/>
          <c:tx>
            <c:strRef>
              <c:f>Brazil!$F$1</c:f>
              <c:strCache>
                <c:ptCount val="1"/>
                <c:pt idx="0">
                  <c:v>2000</c:v>
                </c:pt>
              </c:strCache>
            </c:strRef>
          </c:tx>
          <c:spPr>
            <a:solidFill>
              <a:schemeClr val="accent5"/>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Brazil!$F$4:$F$15</c:f>
              <c:numCache>
                <c:formatCode>0.0</c:formatCode>
                <c:ptCount val="12"/>
                <c:pt idx="0">
                  <c:v>20.590797365968378</c:v>
                </c:pt>
                <c:pt idx="1">
                  <c:v>24.847320038973393</c:v>
                </c:pt>
                <c:pt idx="2">
                  <c:v>18.378201765783459</c:v>
                </c:pt>
                <c:pt idx="3">
                  <c:v>18.431871140939595</c:v>
                </c:pt>
                <c:pt idx="4">
                  <c:v>45.61808416240487</c:v>
                </c:pt>
                <c:pt idx="5">
                  <c:v>17.813802306874738</c:v>
                </c:pt>
                <c:pt idx="6">
                  <c:v>18.022121470395472</c:v>
                </c:pt>
                <c:pt idx="7">
                  <c:v>35.487017083610191</c:v>
                </c:pt>
                <c:pt idx="8">
                  <c:v>18.379950125635823</c:v>
                </c:pt>
                <c:pt idx="9">
                  <c:v>20.690317323214185</c:v>
                </c:pt>
                <c:pt idx="10">
                  <c:v>34.431805971367041</c:v>
                </c:pt>
              </c:numCache>
            </c:numRef>
          </c:val>
        </c:ser>
        <c:ser>
          <c:idx val="5"/>
          <c:order val="5"/>
          <c:tx>
            <c:strRef>
              <c:f>Brazil!$G$1</c:f>
              <c:strCache>
                <c:ptCount val="1"/>
                <c:pt idx="0">
                  <c:v>2005</c:v>
                </c:pt>
              </c:strCache>
            </c:strRef>
          </c:tx>
          <c:spPr>
            <a:solidFill>
              <a:schemeClr val="accent6"/>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Brazil!$G$4:$G$15</c:f>
              <c:numCache>
                <c:formatCode>0.0</c:formatCode>
                <c:ptCount val="12"/>
                <c:pt idx="0">
                  <c:v>23.003035917147649</c:v>
                </c:pt>
                <c:pt idx="1">
                  <c:v>27.792831649112003</c:v>
                </c:pt>
                <c:pt idx="2">
                  <c:v>20.723211402290286</c:v>
                </c:pt>
                <c:pt idx="3">
                  <c:v>19.891914361702128</c:v>
                </c:pt>
                <c:pt idx="4">
                  <c:v>47.689985765311533</c:v>
                </c:pt>
                <c:pt idx="5">
                  <c:v>19.677389768683128</c:v>
                </c:pt>
                <c:pt idx="6">
                  <c:v>19.65848486692466</c:v>
                </c:pt>
                <c:pt idx="7">
                  <c:v>39.254338881008145</c:v>
                </c:pt>
                <c:pt idx="8">
                  <c:v>20.071239955824048</c:v>
                </c:pt>
                <c:pt idx="9">
                  <c:v>22.68283247704872</c:v>
                </c:pt>
                <c:pt idx="10">
                  <c:v>36.988086040662026</c:v>
                </c:pt>
              </c:numCache>
            </c:numRef>
          </c:val>
        </c:ser>
        <c:ser>
          <c:idx val="6"/>
          <c:order val="6"/>
          <c:tx>
            <c:strRef>
              <c:f>Brazil!$H$1</c:f>
              <c:strCache>
                <c:ptCount val="1"/>
                <c:pt idx="0">
                  <c:v>2010</c:v>
                </c:pt>
              </c:strCache>
            </c:strRef>
          </c:tx>
          <c:spPr>
            <a:solidFill>
              <a:schemeClr val="accent1">
                <a:lumMod val="60000"/>
              </a:schemeClr>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Brazil!$H$4:$H$15</c:f>
              <c:numCache>
                <c:formatCode>0.0</c:formatCode>
                <c:ptCount val="12"/>
                <c:pt idx="0">
                  <c:v>26.176463058704808</c:v>
                </c:pt>
                <c:pt idx="1">
                  <c:v>31.874010216110424</c:v>
                </c:pt>
                <c:pt idx="2">
                  <c:v>23.456194168397506</c:v>
                </c:pt>
                <c:pt idx="3">
                  <c:v>21.589688640132671</c:v>
                </c:pt>
                <c:pt idx="4">
                  <c:v>49.982236541508243</c:v>
                </c:pt>
                <c:pt idx="5">
                  <c:v>21.808494557184051</c:v>
                </c:pt>
                <c:pt idx="6">
                  <c:v>21.709226346187297</c:v>
                </c:pt>
                <c:pt idx="7">
                  <c:v>41.114985059460317</c:v>
                </c:pt>
                <c:pt idx="8">
                  <c:v>21.305925917633459</c:v>
                </c:pt>
                <c:pt idx="9">
                  <c:v>24.888632890284345</c:v>
                </c:pt>
                <c:pt idx="10">
                  <c:v>39.414193220242232</c:v>
                </c:pt>
              </c:numCache>
            </c:numRef>
          </c:val>
        </c:ser>
        <c:ser>
          <c:idx val="7"/>
          <c:order val="7"/>
          <c:tx>
            <c:strRef>
              <c:f>Brazil!$I$1</c:f>
              <c:strCache>
                <c:ptCount val="1"/>
                <c:pt idx="0">
                  <c:v>2015</c:v>
                </c:pt>
              </c:strCache>
            </c:strRef>
          </c:tx>
          <c:spPr>
            <a:solidFill>
              <a:schemeClr val="accent2">
                <a:lumMod val="60000"/>
              </a:schemeClr>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Brazil!$I$4:$I$15</c:f>
              <c:numCache>
                <c:formatCode>0.0</c:formatCode>
                <c:ptCount val="12"/>
                <c:pt idx="0">
                  <c:v>28.880242190944454</c:v>
                </c:pt>
                <c:pt idx="1">
                  <c:v>36.156310306438115</c:v>
                </c:pt>
                <c:pt idx="2">
                  <c:v>26.288996989412791</c:v>
                </c:pt>
                <c:pt idx="3">
                  <c:v>23.360791971940763</c:v>
                </c:pt>
                <c:pt idx="4">
                  <c:v>52.29301406408976</c:v>
                </c:pt>
                <c:pt idx="5">
                  <c:v>24.694815380232139</c:v>
                </c:pt>
                <c:pt idx="6">
                  <c:v>23.91350426638386</c:v>
                </c:pt>
                <c:pt idx="7">
                  <c:v>42.139234731872961</c:v>
                </c:pt>
                <c:pt idx="8">
                  <c:v>21.878936911144091</c:v>
                </c:pt>
                <c:pt idx="9">
                  <c:v>27.30657192534737</c:v>
                </c:pt>
                <c:pt idx="10">
                  <c:v>40.734492410894269</c:v>
                </c:pt>
              </c:numCache>
            </c:numRef>
          </c:val>
        </c:ser>
        <c:ser>
          <c:idx val="8"/>
          <c:order val="8"/>
          <c:tx>
            <c:strRef>
              <c:f>Brazil!$J$1</c:f>
              <c:strCache>
                <c:ptCount val="1"/>
              </c:strCache>
            </c:strRef>
          </c:tx>
          <c:spPr>
            <a:solidFill>
              <a:schemeClr val="accent3">
                <a:lumMod val="60000"/>
              </a:schemeClr>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Brazil!$J$4:$J$15</c:f>
              <c:numCache>
                <c:formatCode>General</c:formatCode>
                <c:ptCount val="12"/>
              </c:numCache>
            </c:numRef>
          </c:val>
        </c:ser>
        <c:ser>
          <c:idx val="9"/>
          <c:order val="9"/>
          <c:tx>
            <c:strRef>
              <c:f>Brazil!$K$1</c:f>
              <c:strCache>
                <c:ptCount val="1"/>
                <c:pt idx="0">
                  <c:v>2020</c:v>
                </c:pt>
              </c:strCache>
            </c:strRef>
          </c:tx>
          <c:spPr>
            <a:solidFill>
              <a:schemeClr val="accent4">
                <a:lumMod val="60000"/>
              </a:schemeClr>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Brazil!$K$4:$K$15</c:f>
              <c:numCache>
                <c:formatCode>0.0</c:formatCode>
                <c:ptCount val="12"/>
                <c:pt idx="0">
                  <c:v>31.762936640577568</c:v>
                </c:pt>
                <c:pt idx="1">
                  <c:v>40.149468861647378</c:v>
                </c:pt>
                <c:pt idx="2">
                  <c:v>28.592823479798213</c:v>
                </c:pt>
                <c:pt idx="3">
                  <c:v>25.195232298595716</c:v>
                </c:pt>
                <c:pt idx="4">
                  <c:v>54.936451369479094</c:v>
                </c:pt>
                <c:pt idx="5">
                  <c:v>28.233814833213913</c:v>
                </c:pt>
                <c:pt idx="6">
                  <c:v>26.311510834603745</c:v>
                </c:pt>
                <c:pt idx="7">
                  <c:v>43.951044247571453</c:v>
                </c:pt>
                <c:pt idx="8">
                  <c:v>22.631151107432778</c:v>
                </c:pt>
                <c:pt idx="9">
                  <c:v>30.269349897861328</c:v>
                </c:pt>
                <c:pt idx="10">
                  <c:v>41.570055787673979</c:v>
                </c:pt>
              </c:numCache>
            </c:numRef>
          </c:val>
        </c:ser>
        <c:ser>
          <c:idx val="10"/>
          <c:order val="10"/>
          <c:tx>
            <c:strRef>
              <c:f>Brazil!$L$1</c:f>
              <c:strCache>
                <c:ptCount val="1"/>
                <c:pt idx="0">
                  <c:v>2025</c:v>
                </c:pt>
              </c:strCache>
            </c:strRef>
          </c:tx>
          <c:spPr>
            <a:solidFill>
              <a:schemeClr val="accent5">
                <a:lumMod val="60000"/>
              </a:schemeClr>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Brazil!$L$4:$L$15</c:f>
              <c:numCache>
                <c:formatCode>0.0</c:formatCode>
                <c:ptCount val="12"/>
                <c:pt idx="0">
                  <c:v>34.966857158557012</c:v>
                </c:pt>
                <c:pt idx="1">
                  <c:v>42.167895291934997</c:v>
                </c:pt>
                <c:pt idx="2">
                  <c:v>31.137955170986533</c:v>
                </c:pt>
                <c:pt idx="3">
                  <c:v>27.269734650670429</c:v>
                </c:pt>
                <c:pt idx="4">
                  <c:v>57.030172095801163</c:v>
                </c:pt>
                <c:pt idx="5">
                  <c:v>31.32934822918947</c:v>
                </c:pt>
                <c:pt idx="6">
                  <c:v>28.997348901993323</c:v>
                </c:pt>
                <c:pt idx="7">
                  <c:v>46.827599242141616</c:v>
                </c:pt>
                <c:pt idx="8">
                  <c:v>23.865178059372077</c:v>
                </c:pt>
                <c:pt idx="9">
                  <c:v>33.546768861709161</c:v>
                </c:pt>
                <c:pt idx="10">
                  <c:v>42.155410648321904</c:v>
                </c:pt>
              </c:numCache>
            </c:numRef>
          </c:val>
        </c:ser>
        <c:ser>
          <c:idx val="11"/>
          <c:order val="11"/>
          <c:tx>
            <c:strRef>
              <c:f>Brazil!$M$1</c:f>
              <c:strCache>
                <c:ptCount val="1"/>
                <c:pt idx="0">
                  <c:v>2030</c:v>
                </c:pt>
              </c:strCache>
            </c:strRef>
          </c:tx>
          <c:spPr>
            <a:solidFill>
              <a:schemeClr val="accent6">
                <a:lumMod val="60000"/>
              </a:schemeClr>
            </a:solidFill>
            <a:ln>
              <a:noFill/>
            </a:ln>
            <a:effectLst/>
          </c:spPr>
          <c:invertIfNegative val="0"/>
          <c:cat>
            <c:strRef>
              <c:f>Brazil!$A$4:$A$15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Brazil!$M$4:$M$15</c:f>
              <c:numCache>
                <c:formatCode>0.0</c:formatCode>
                <c:ptCount val="12"/>
                <c:pt idx="0">
                  <c:v>38.662319144546785</c:v>
                </c:pt>
                <c:pt idx="1">
                  <c:v>44.946027432739108</c:v>
                </c:pt>
                <c:pt idx="2">
                  <c:v>33.674514773029458</c:v>
                </c:pt>
                <c:pt idx="3">
                  <c:v>29.384564662162163</c:v>
                </c:pt>
                <c:pt idx="4">
                  <c:v>58.212417396878386</c:v>
                </c:pt>
                <c:pt idx="5">
                  <c:v>33.996531609801814</c:v>
                </c:pt>
                <c:pt idx="6">
                  <c:v>31.604472980716768</c:v>
                </c:pt>
                <c:pt idx="7">
                  <c:v>50.409077826582511</c:v>
                </c:pt>
                <c:pt idx="8">
                  <c:v>26.017419145761391</c:v>
                </c:pt>
                <c:pt idx="9">
                  <c:v>36.822741101690987</c:v>
                </c:pt>
                <c:pt idx="10">
                  <c:v>42.938277863529969</c:v>
                </c:pt>
              </c:numCache>
            </c:numRef>
          </c:val>
        </c:ser>
        <c:dLbls>
          <c:showLegendKey val="0"/>
          <c:showVal val="0"/>
          <c:showCatName val="0"/>
          <c:showSerName val="0"/>
          <c:showPercent val="0"/>
          <c:showBubbleSize val="0"/>
        </c:dLbls>
        <c:gapWidth val="219"/>
        <c:overlap val="-27"/>
        <c:axId val="241094656"/>
        <c:axId val="241096192"/>
      </c:barChart>
      <c:catAx>
        <c:axId val="24109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096192"/>
        <c:crosses val="autoZero"/>
        <c:auto val="1"/>
        <c:lblAlgn val="ctr"/>
        <c:lblOffset val="100"/>
        <c:noMultiLvlLbl val="0"/>
      </c:catAx>
      <c:valAx>
        <c:axId val="24109619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09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Sheet1!$J$4</c:f>
              <c:strCache>
                <c:ptCount val="1"/>
                <c:pt idx="0">
                  <c:v>2000</c:v>
                </c:pt>
              </c:strCache>
            </c:strRef>
          </c:tx>
          <c:spPr>
            <a:solidFill>
              <a:schemeClr val="accent1"/>
            </a:solidFill>
            <a:ln>
              <a:noFill/>
            </a:ln>
            <a:effectLst/>
          </c:spPr>
          <c:invertIfNegative val="0"/>
          <c:cat>
            <c:strRef>
              <c:f>Sheet1!$I$5:$I$15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Sheet1!$J$5:$J$15</c:f>
              <c:numCache>
                <c:formatCode>General</c:formatCode>
                <c:ptCount val="11"/>
                <c:pt idx="0" formatCode="0.0%">
                  <c:v>0.12329013263720068</c:v>
                </c:pt>
                <c:pt idx="2" formatCode="0.0%">
                  <c:v>0.11782557818274876</c:v>
                </c:pt>
                <c:pt idx="3" formatCode="0.0%">
                  <c:v>0.14139865679012345</c:v>
                </c:pt>
                <c:pt idx="5" formatCode="0.0%">
                  <c:v>0.11955801284880246</c:v>
                </c:pt>
                <c:pt idx="7" formatCode="0.0%">
                  <c:v>0.15501336213628872</c:v>
                </c:pt>
                <c:pt idx="8" formatCode="0.0%">
                  <c:v>0.14260086617981771</c:v>
                </c:pt>
                <c:pt idx="9" formatCode="0.0%">
                  <c:v>0.11635639901226197</c:v>
                </c:pt>
              </c:numCache>
            </c:numRef>
          </c:val>
        </c:ser>
        <c:ser>
          <c:idx val="1"/>
          <c:order val="1"/>
          <c:tx>
            <c:strRef>
              <c:f>Sheet1!$K$4</c:f>
              <c:strCache>
                <c:ptCount val="1"/>
                <c:pt idx="0">
                  <c:v>2010</c:v>
                </c:pt>
              </c:strCache>
            </c:strRef>
          </c:tx>
          <c:spPr>
            <a:solidFill>
              <a:schemeClr val="accent2"/>
            </a:solidFill>
            <a:ln>
              <a:noFill/>
            </a:ln>
            <a:effectLst/>
          </c:spPr>
          <c:invertIfNegative val="0"/>
          <c:cat>
            <c:strRef>
              <c:f>Sheet1!$I$5:$I$15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Sheet1!$K$5:$K$15</c:f>
              <c:numCache>
                <c:formatCode>0.0%</c:formatCode>
                <c:ptCount val="11"/>
                <c:pt idx="0">
                  <c:v>0.15652035490196078</c:v>
                </c:pt>
                <c:pt idx="1">
                  <c:v>0.20827496947496948</c:v>
                </c:pt>
                <c:pt idx="2">
                  <c:v>0.1678230464106745</c:v>
                </c:pt>
                <c:pt idx="3">
                  <c:v>0.17448336616702356</c:v>
                </c:pt>
                <c:pt idx="4">
                  <c:v>0.27566793567463749</c:v>
                </c:pt>
                <c:pt idx="5">
                  <c:v>0.15169201601351309</c:v>
                </c:pt>
                <c:pt idx="6">
                  <c:v>0.16820631254811394</c:v>
                </c:pt>
                <c:pt idx="7">
                  <c:v>0.22682598172367574</c:v>
                </c:pt>
                <c:pt idx="8">
                  <c:v>0.15126871180884266</c:v>
                </c:pt>
                <c:pt idx="9">
                  <c:v>0.12220919920805119</c:v>
                </c:pt>
                <c:pt idx="10">
                  <c:v>0.27166707317073174</c:v>
                </c:pt>
              </c:numCache>
            </c:numRef>
          </c:val>
        </c:ser>
        <c:ser>
          <c:idx val="2"/>
          <c:order val="2"/>
          <c:tx>
            <c:strRef>
              <c:f>Sheet1!$L$4</c:f>
              <c:strCache>
                <c:ptCount val="1"/>
                <c:pt idx="0">
                  <c:v>2015</c:v>
                </c:pt>
              </c:strCache>
            </c:strRef>
          </c:tx>
          <c:spPr>
            <a:solidFill>
              <a:schemeClr val="accent3"/>
            </a:solidFill>
            <a:ln>
              <a:noFill/>
            </a:ln>
            <a:effectLst/>
          </c:spPr>
          <c:invertIfNegative val="0"/>
          <c:cat>
            <c:strRef>
              <c:f>Sheet1!$I$5:$I$15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Sheet1!$L$5:$L$15</c:f>
              <c:numCache>
                <c:formatCode>0.0%</c:formatCode>
                <c:ptCount val="11"/>
                <c:pt idx="0">
                  <c:v>0.17606943944954132</c:v>
                </c:pt>
                <c:pt idx="1">
                  <c:v>0.24174709443099274</c:v>
                </c:pt>
                <c:pt idx="2">
                  <c:v>0.18640617235942084</c:v>
                </c:pt>
                <c:pt idx="3">
                  <c:v>0.18576118395303326</c:v>
                </c:pt>
                <c:pt idx="4">
                  <c:v>0.28164109090510148</c:v>
                </c:pt>
                <c:pt idx="5">
                  <c:v>0.16572186941077494</c:v>
                </c:pt>
                <c:pt idx="6">
                  <c:v>0.18078495852062224</c:v>
                </c:pt>
                <c:pt idx="7">
                  <c:v>0.22991069367399289</c:v>
                </c:pt>
                <c:pt idx="8">
                  <c:v>0.15135623806424636</c:v>
                </c:pt>
                <c:pt idx="9">
                  <c:v>0.1408337820278624</c:v>
                </c:pt>
                <c:pt idx="10">
                  <c:v>0.26487941176470586</c:v>
                </c:pt>
              </c:numCache>
            </c:numRef>
          </c:val>
        </c:ser>
        <c:ser>
          <c:idx val="3"/>
          <c:order val="3"/>
          <c:tx>
            <c:strRef>
              <c:f>Sheet1!$M$4</c:f>
              <c:strCache>
                <c:ptCount val="1"/>
                <c:pt idx="0">
                  <c:v>2030</c:v>
                </c:pt>
              </c:strCache>
            </c:strRef>
          </c:tx>
          <c:spPr>
            <a:solidFill>
              <a:schemeClr val="accent4"/>
            </a:solidFill>
            <a:ln>
              <a:noFill/>
            </a:ln>
            <a:effectLst/>
          </c:spPr>
          <c:invertIfNegative val="0"/>
          <c:cat>
            <c:strRef>
              <c:f>Sheet1!$I$5:$I$15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Sheet1!$M$5:$M$15</c:f>
              <c:numCache>
                <c:formatCode>0.0%</c:formatCode>
                <c:ptCount val="11"/>
                <c:pt idx="0">
                  <c:v>0.21162046747967481</c:v>
                </c:pt>
                <c:pt idx="1">
                  <c:v>0.26006350364963504</c:v>
                </c:pt>
                <c:pt idx="2">
                  <c:v>0.21218248521789931</c:v>
                </c:pt>
                <c:pt idx="3">
                  <c:v>0.21024699201277955</c:v>
                </c:pt>
                <c:pt idx="4">
                  <c:v>0.32224893936175003</c:v>
                </c:pt>
                <c:pt idx="5">
                  <c:v>0.2167470161837991</c:v>
                </c:pt>
                <c:pt idx="6">
                  <c:v>0.20632209446573721</c:v>
                </c:pt>
                <c:pt idx="7">
                  <c:v>0.25969575725980892</c:v>
                </c:pt>
                <c:pt idx="8">
                  <c:v>0.15611282536892715</c:v>
                </c:pt>
                <c:pt idx="9">
                  <c:v>0.18567987857741047</c:v>
                </c:pt>
                <c:pt idx="10">
                  <c:v>0.24087955801104971</c:v>
                </c:pt>
              </c:numCache>
            </c:numRef>
          </c:val>
        </c:ser>
        <c:dLbls>
          <c:showLegendKey val="0"/>
          <c:showVal val="0"/>
          <c:showCatName val="0"/>
          <c:showSerName val="0"/>
          <c:showPercent val="0"/>
          <c:showBubbleSize val="0"/>
        </c:dLbls>
        <c:gapWidth val="219"/>
        <c:overlap val="-27"/>
        <c:axId val="248143872"/>
        <c:axId val="248145408"/>
      </c:barChart>
      <c:catAx>
        <c:axId val="2481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45408"/>
        <c:crosses val="autoZero"/>
        <c:auto val="1"/>
        <c:lblAlgn val="ctr"/>
        <c:lblOffset val="100"/>
        <c:noMultiLvlLbl val="0"/>
      </c:catAx>
      <c:valAx>
        <c:axId val="248145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4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Sheet1!$N$4</c:f>
              <c:strCache>
                <c:ptCount val="1"/>
                <c:pt idx="0">
                  <c:v>2015 - 30</c:v>
                </c:pt>
              </c:strCache>
            </c:strRef>
          </c:tx>
          <c:spPr>
            <a:solidFill>
              <a:schemeClr val="accent1"/>
            </a:solidFill>
            <a:ln>
              <a:noFill/>
            </a:ln>
            <a:effectLst/>
          </c:spPr>
          <c:invertIfNegative val="0"/>
          <c:cat>
            <c:strRef>
              <c:f>Sheet1!$I$5:$I$15</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Sheet1!$N$5:$N$15</c:f>
              <c:numCache>
                <c:formatCode>0.0%</c:formatCode>
                <c:ptCount val="11"/>
                <c:pt idx="0">
                  <c:v>3.5551028030133491E-2</c:v>
                </c:pt>
                <c:pt idx="1">
                  <c:v>1.8316409218642304E-2</c:v>
                </c:pt>
                <c:pt idx="2">
                  <c:v>2.5776312858478478E-2</c:v>
                </c:pt>
                <c:pt idx="3">
                  <c:v>2.4485808059746289E-2</c:v>
                </c:pt>
                <c:pt idx="4">
                  <c:v>4.0607848456648554E-2</c:v>
                </c:pt>
                <c:pt idx="5">
                  <c:v>5.1025146773024166E-2</c:v>
                </c:pt>
                <c:pt idx="6">
                  <c:v>2.5537135945114975E-2</c:v>
                </c:pt>
                <c:pt idx="7">
                  <c:v>2.9785063585816035E-2</c:v>
                </c:pt>
                <c:pt idx="8">
                  <c:v>4.7565873046807872E-3</c:v>
                </c:pt>
                <c:pt idx="9">
                  <c:v>4.4846096549548076E-2</c:v>
                </c:pt>
                <c:pt idx="10">
                  <c:v>-2.3999853753656153E-2</c:v>
                </c:pt>
              </c:numCache>
            </c:numRef>
          </c:val>
        </c:ser>
        <c:dLbls>
          <c:showLegendKey val="0"/>
          <c:showVal val="0"/>
          <c:showCatName val="0"/>
          <c:showSerName val="0"/>
          <c:showPercent val="0"/>
          <c:showBubbleSize val="0"/>
        </c:dLbls>
        <c:gapWidth val="182"/>
        <c:axId val="248169984"/>
        <c:axId val="248171520"/>
      </c:barChart>
      <c:catAx>
        <c:axId val="2481699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71520"/>
        <c:crosses val="autoZero"/>
        <c:auto val="1"/>
        <c:lblAlgn val="ctr"/>
        <c:lblOffset val="100"/>
        <c:noMultiLvlLbl val="0"/>
      </c:catAx>
      <c:valAx>
        <c:axId val="248171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169984"/>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Table!$B$117</c:f>
              <c:strCache>
                <c:ptCount val="1"/>
                <c:pt idx="0">
                  <c:v>NCD</c:v>
                </c:pt>
              </c:strCache>
            </c:strRef>
          </c:tx>
          <c:spPr>
            <a:solidFill>
              <a:schemeClr val="accent1"/>
            </a:solidFill>
            <a:ln>
              <a:noFill/>
            </a:ln>
            <a:effectLst/>
          </c:spPr>
          <c:invertIfNegative val="0"/>
          <c:cat>
            <c:strRef>
              <c:f>Table!$A$118:$A$128</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Table!$B$118:$B$128</c:f>
              <c:numCache>
                <c:formatCode>_-* #,##0.0_-;\-* #,##0.0_-;_-* "-"??_-;_-@_-</c:formatCode>
                <c:ptCount val="11"/>
                <c:pt idx="0">
                  <c:v>150.30143379629729</c:v>
                </c:pt>
                <c:pt idx="1">
                  <c:v>115.38767656081276</c:v>
                </c:pt>
                <c:pt idx="2">
                  <c:v>144.70889433068453</c:v>
                </c:pt>
                <c:pt idx="3">
                  <c:v>145.62054797308636</c:v>
                </c:pt>
                <c:pt idx="4">
                  <c:v>126.21665881267717</c:v>
                </c:pt>
                <c:pt idx="5">
                  <c:v>125.05235912874227</c:v>
                </c:pt>
                <c:pt idx="6">
                  <c:v>142.37774104789321</c:v>
                </c:pt>
                <c:pt idx="7">
                  <c:v>148.72039551228107</c:v>
                </c:pt>
                <c:pt idx="8">
                  <c:v>149.28382623694588</c:v>
                </c:pt>
                <c:pt idx="9">
                  <c:v>149.06366334280298</c:v>
                </c:pt>
                <c:pt idx="10">
                  <c:v>144.84120143075867</c:v>
                </c:pt>
              </c:numCache>
            </c:numRef>
          </c:val>
        </c:ser>
        <c:ser>
          <c:idx val="1"/>
          <c:order val="1"/>
          <c:tx>
            <c:strRef>
              <c:f>Table!$C$117</c:f>
              <c:strCache>
                <c:ptCount val="1"/>
                <c:pt idx="0">
                  <c:v>Communicable, etc</c:v>
                </c:pt>
              </c:strCache>
            </c:strRef>
          </c:tx>
          <c:spPr>
            <a:solidFill>
              <a:schemeClr val="accent2"/>
            </a:solidFill>
            <a:ln>
              <a:noFill/>
            </a:ln>
            <a:effectLst/>
          </c:spPr>
          <c:invertIfNegative val="0"/>
          <c:cat>
            <c:strRef>
              <c:f>Table!$A$118:$A$128</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Table!$C$118:$C$128</c:f>
              <c:numCache>
                <c:formatCode>_-* #,##0.0_-;\-* #,##0.0_-;_-* "-"??_-;_-@_-</c:formatCode>
                <c:ptCount val="11"/>
                <c:pt idx="0">
                  <c:v>9.0891783653139182</c:v>
                </c:pt>
                <c:pt idx="1">
                  <c:v>6.7554678150438754</c:v>
                </c:pt>
                <c:pt idx="2">
                  <c:v>12.923455477141948</c:v>
                </c:pt>
                <c:pt idx="3">
                  <c:v>21.458950195488011</c:v>
                </c:pt>
                <c:pt idx="4">
                  <c:v>4.3362356579780279</c:v>
                </c:pt>
                <c:pt idx="5">
                  <c:v>8.5003922471484241</c:v>
                </c:pt>
                <c:pt idx="6">
                  <c:v>13.764236687655048</c:v>
                </c:pt>
                <c:pt idx="7">
                  <c:v>5.4715290726671189</c:v>
                </c:pt>
                <c:pt idx="8">
                  <c:v>29.456534741746392</c:v>
                </c:pt>
                <c:pt idx="9">
                  <c:v>9.3437899295076061</c:v>
                </c:pt>
                <c:pt idx="10">
                  <c:v>3.0129207512678424</c:v>
                </c:pt>
              </c:numCache>
            </c:numRef>
          </c:val>
        </c:ser>
        <c:ser>
          <c:idx val="2"/>
          <c:order val="2"/>
          <c:tx>
            <c:strRef>
              <c:f>Table!$D$117</c:f>
              <c:strCache>
                <c:ptCount val="1"/>
                <c:pt idx="0">
                  <c:v>Injuries</c:v>
                </c:pt>
              </c:strCache>
            </c:strRef>
          </c:tx>
          <c:spPr>
            <a:solidFill>
              <a:schemeClr val="accent3"/>
            </a:solidFill>
            <a:ln>
              <a:noFill/>
            </a:ln>
            <a:effectLst/>
          </c:spPr>
          <c:invertIfNegative val="0"/>
          <c:cat>
            <c:strRef>
              <c:f>Table!$A$118:$A$128</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Table!$D$118:$D$128</c:f>
              <c:numCache>
                <c:formatCode>_-* #,##0.0_-;\-* #,##0.0_-;_-* "-"??_-;_-@_-</c:formatCode>
                <c:ptCount val="11"/>
                <c:pt idx="0">
                  <c:v>8.74377602853939</c:v>
                </c:pt>
                <c:pt idx="1">
                  <c:v>11.259643847663954</c:v>
                </c:pt>
                <c:pt idx="2">
                  <c:v>6.7771445285489111</c:v>
                </c:pt>
                <c:pt idx="3">
                  <c:v>12.332468829221822</c:v>
                </c:pt>
                <c:pt idx="4">
                  <c:v>11.047691335769459</c:v>
                </c:pt>
                <c:pt idx="5">
                  <c:v>6.7727795240198558</c:v>
                </c:pt>
                <c:pt idx="6">
                  <c:v>11.283798535119313</c:v>
                </c:pt>
                <c:pt idx="7">
                  <c:v>19.473683148829593</c:v>
                </c:pt>
                <c:pt idx="8">
                  <c:v>10.410419921605753</c:v>
                </c:pt>
                <c:pt idx="9">
                  <c:v>14.405433411852162</c:v>
                </c:pt>
                <c:pt idx="10">
                  <c:v>7.9049834579798111</c:v>
                </c:pt>
              </c:numCache>
            </c:numRef>
          </c:val>
        </c:ser>
        <c:dLbls>
          <c:showLegendKey val="0"/>
          <c:showVal val="0"/>
          <c:showCatName val="0"/>
          <c:showSerName val="0"/>
          <c:showPercent val="0"/>
          <c:showBubbleSize val="0"/>
        </c:dLbls>
        <c:gapWidth val="150"/>
        <c:overlap val="100"/>
        <c:axId val="248620544"/>
        <c:axId val="248622080"/>
      </c:barChart>
      <c:catAx>
        <c:axId val="24862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622080"/>
        <c:crosses val="autoZero"/>
        <c:auto val="1"/>
        <c:lblAlgn val="ctr"/>
        <c:lblOffset val="100"/>
        <c:noMultiLvlLbl val="0"/>
      </c:catAx>
      <c:valAx>
        <c:axId val="248622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62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'for Brazil'!$AJ$21</c:f>
              <c:strCache>
                <c:ptCount val="1"/>
                <c:pt idx="0">
                  <c:v>2015</c:v>
                </c:pt>
              </c:strCache>
            </c:strRef>
          </c:tx>
          <c:spPr>
            <a:solidFill>
              <a:schemeClr val="accent1"/>
            </a:solidFill>
            <a:ln>
              <a:noFill/>
            </a:ln>
            <a:effectLst/>
          </c:spPr>
          <c:invertIfNegative val="0"/>
          <c:cat>
            <c:strRef>
              <c:f>'for Brazil'!$A$22:$A$32</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'for Brazil'!$AJ$22:$AJ$32</c:f>
              <c:numCache>
                <c:formatCode>0.0%</c:formatCode>
                <c:ptCount val="11"/>
                <c:pt idx="0">
                  <c:v>2.4190574522497295E-2</c:v>
                </c:pt>
                <c:pt idx="1">
                  <c:v>2.1943558718614097E-2</c:v>
                </c:pt>
                <c:pt idx="2">
                  <c:v>2.3788132410676892E-2</c:v>
                </c:pt>
                <c:pt idx="3">
                  <c:v>2.9117702472609645E-2</c:v>
                </c:pt>
                <c:pt idx="4">
                  <c:v>2.9956514262598904E-2</c:v>
                </c:pt>
                <c:pt idx="5">
                  <c:v>2.0037903880555728E-2</c:v>
                </c:pt>
                <c:pt idx="6">
                  <c:v>1.9418889075715699E-2</c:v>
                </c:pt>
                <c:pt idx="7">
                  <c:v>3.9111113223540828E-2</c:v>
                </c:pt>
                <c:pt idx="8">
                  <c:v>2.9585158899561533E-2</c:v>
                </c:pt>
                <c:pt idx="9">
                  <c:v>3.3095961090357374E-2</c:v>
                </c:pt>
                <c:pt idx="10">
                  <c:v>3.2444279295881381E-2</c:v>
                </c:pt>
              </c:numCache>
            </c:numRef>
          </c:val>
        </c:ser>
        <c:ser>
          <c:idx val="1"/>
          <c:order val="1"/>
          <c:tx>
            <c:strRef>
              <c:f>'for Brazil'!$AK$21</c:f>
              <c:strCache>
                <c:ptCount val="1"/>
                <c:pt idx="0">
                  <c:v>2020</c:v>
                </c:pt>
              </c:strCache>
            </c:strRef>
          </c:tx>
          <c:spPr>
            <a:solidFill>
              <a:schemeClr val="accent2"/>
            </a:solidFill>
            <a:ln>
              <a:noFill/>
            </a:ln>
            <a:effectLst/>
          </c:spPr>
          <c:invertIfNegative val="0"/>
          <c:cat>
            <c:strRef>
              <c:f>'for Brazil'!$A$22:$A$32</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'for Brazil'!$AK$22:$AK$32</c:f>
              <c:numCache>
                <c:formatCode>0.0%</c:formatCode>
                <c:ptCount val="11"/>
                <c:pt idx="0">
                  <c:v>2.5710365969493595E-2</c:v>
                </c:pt>
                <c:pt idx="1">
                  <c:v>2.4989874625139585E-2</c:v>
                </c:pt>
                <c:pt idx="2">
                  <c:v>2.5540504132900523E-2</c:v>
                </c:pt>
                <c:pt idx="3">
                  <c:v>3.0418090256014798E-2</c:v>
                </c:pt>
                <c:pt idx="4">
                  <c:v>3.0542166551521793E-2</c:v>
                </c:pt>
                <c:pt idx="5">
                  <c:v>2.1823583512258059E-2</c:v>
                </c:pt>
                <c:pt idx="6">
                  <c:v>2.0868555797897256E-2</c:v>
                </c:pt>
                <c:pt idx="7">
                  <c:v>3.6514417124489405E-2</c:v>
                </c:pt>
                <c:pt idx="8">
                  <c:v>2.8708110079136137E-2</c:v>
                </c:pt>
                <c:pt idx="9">
                  <c:v>3.5354504648274082E-2</c:v>
                </c:pt>
                <c:pt idx="10">
                  <c:v>3.1978776256982547E-2</c:v>
                </c:pt>
              </c:numCache>
            </c:numRef>
          </c:val>
        </c:ser>
        <c:ser>
          <c:idx val="2"/>
          <c:order val="2"/>
          <c:tx>
            <c:strRef>
              <c:f>'for Brazil'!$AL$21</c:f>
              <c:strCache>
                <c:ptCount val="1"/>
                <c:pt idx="0">
                  <c:v>2025</c:v>
                </c:pt>
              </c:strCache>
            </c:strRef>
          </c:tx>
          <c:spPr>
            <a:solidFill>
              <a:schemeClr val="accent3"/>
            </a:solidFill>
            <a:ln>
              <a:noFill/>
            </a:ln>
            <a:effectLst/>
          </c:spPr>
          <c:invertIfNegative val="0"/>
          <c:cat>
            <c:strRef>
              <c:f>'for Brazil'!$A$22:$A$32</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'for Brazil'!$AL$22:$AL$32</c:f>
              <c:numCache>
                <c:formatCode>0.0%</c:formatCode>
                <c:ptCount val="11"/>
                <c:pt idx="0">
                  <c:v>2.7024506150554115E-2</c:v>
                </c:pt>
                <c:pt idx="1">
                  <c:v>2.8138398383714187E-2</c:v>
                </c:pt>
                <c:pt idx="2">
                  <c:v>2.6149956612319742E-2</c:v>
                </c:pt>
                <c:pt idx="3">
                  <c:v>3.1673880667662593E-2</c:v>
                </c:pt>
                <c:pt idx="4">
                  <c:v>3.385775860623691E-2</c:v>
                </c:pt>
                <c:pt idx="5">
                  <c:v>2.4476353611194702E-2</c:v>
                </c:pt>
                <c:pt idx="6">
                  <c:v>2.2388021164570143E-2</c:v>
                </c:pt>
                <c:pt idx="7">
                  <c:v>3.5833245837007054E-2</c:v>
                </c:pt>
                <c:pt idx="8">
                  <c:v>2.7984901872905945E-2</c:v>
                </c:pt>
                <c:pt idx="9">
                  <c:v>3.8182929418964603E-2</c:v>
                </c:pt>
                <c:pt idx="10">
                  <c:v>3.0438964785393839E-2</c:v>
                </c:pt>
              </c:numCache>
            </c:numRef>
          </c:val>
        </c:ser>
        <c:ser>
          <c:idx val="3"/>
          <c:order val="3"/>
          <c:tx>
            <c:strRef>
              <c:f>'for Brazil'!$AM$21</c:f>
              <c:strCache>
                <c:ptCount val="1"/>
                <c:pt idx="0">
                  <c:v>2030</c:v>
                </c:pt>
              </c:strCache>
            </c:strRef>
          </c:tx>
          <c:spPr>
            <a:solidFill>
              <a:schemeClr val="accent4"/>
            </a:solidFill>
            <a:ln>
              <a:noFill/>
            </a:ln>
            <a:effectLst/>
          </c:spPr>
          <c:invertIfNegative val="0"/>
          <c:cat>
            <c:strRef>
              <c:f>'for Brazil'!$A$22:$A$32</c:f>
              <c:strCache>
                <c:ptCount val="11"/>
                <c:pt idx="0">
                  <c:v>Brazil</c:v>
                </c:pt>
                <c:pt idx="1">
                  <c:v>China</c:v>
                </c:pt>
                <c:pt idx="2">
                  <c:v>Colombia</c:v>
                </c:pt>
                <c:pt idx="3">
                  <c:v>India</c:v>
                </c:pt>
                <c:pt idx="4">
                  <c:v>Japan</c:v>
                </c:pt>
                <c:pt idx="5">
                  <c:v>Mexico</c:v>
                </c:pt>
                <c:pt idx="6">
                  <c:v>Peru</c:v>
                </c:pt>
                <c:pt idx="7">
                  <c:v>Poland</c:v>
                </c:pt>
                <c:pt idx="8">
                  <c:v>South Africa</c:v>
                </c:pt>
                <c:pt idx="9">
                  <c:v>Turkey</c:v>
                </c:pt>
                <c:pt idx="10">
                  <c:v>United States</c:v>
                </c:pt>
              </c:strCache>
            </c:strRef>
          </c:cat>
          <c:val>
            <c:numRef>
              <c:f>'for Brazil'!$AM$22:$AM$32</c:f>
              <c:numCache>
                <c:formatCode>0.0%</c:formatCode>
                <c:ptCount val="11"/>
                <c:pt idx="0">
                  <c:v>2.8748334772484688E-2</c:v>
                </c:pt>
                <c:pt idx="1">
                  <c:v>2.7807703304487123E-2</c:v>
                </c:pt>
                <c:pt idx="2">
                  <c:v>2.6798400244286084E-2</c:v>
                </c:pt>
                <c:pt idx="3">
                  <c:v>3.3448876234944504E-2</c:v>
                </c:pt>
                <c:pt idx="4">
                  <c:v>3.5528866224804459E-2</c:v>
                </c:pt>
                <c:pt idx="5">
                  <c:v>2.6217005003590435E-2</c:v>
                </c:pt>
                <c:pt idx="6">
                  <c:v>2.3957642736527621E-2</c:v>
                </c:pt>
                <c:pt idx="7">
                  <c:v>3.9637554085992302E-2</c:v>
                </c:pt>
                <c:pt idx="8">
                  <c:v>2.841441336296089E-2</c:v>
                </c:pt>
                <c:pt idx="9">
                  <c:v>4.1592536085733572E-2</c:v>
                </c:pt>
                <c:pt idx="10">
                  <c:v>2.904367756390033E-2</c:v>
                </c:pt>
              </c:numCache>
            </c:numRef>
          </c:val>
        </c:ser>
        <c:dLbls>
          <c:showLegendKey val="0"/>
          <c:showVal val="0"/>
          <c:showCatName val="0"/>
          <c:showSerName val="0"/>
          <c:showPercent val="0"/>
          <c:showBubbleSize val="0"/>
        </c:dLbls>
        <c:gapWidth val="219"/>
        <c:overlap val="-27"/>
        <c:axId val="250714368"/>
        <c:axId val="250281984"/>
      </c:barChart>
      <c:catAx>
        <c:axId val="250714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281984"/>
        <c:crosses val="autoZero"/>
        <c:auto val="1"/>
        <c:lblAlgn val="ctr"/>
        <c:lblOffset val="100"/>
        <c:noMultiLvlLbl val="0"/>
      </c:catAx>
      <c:valAx>
        <c:axId val="2502819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0714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0.08269</cdr:x>
      <cdr:y>0.3767</cdr:y>
    </cdr:from>
    <cdr:to>
      <cdr:x>0.91095</cdr:x>
      <cdr:y>0.47626</cdr:y>
    </cdr:to>
    <cdr:grpSp>
      <cdr:nvGrpSpPr>
        <cdr:cNvPr id="8" name="Group 7"/>
        <cdr:cNvGrpSpPr/>
      </cdr:nvGrpSpPr>
      <cdr:grpSpPr>
        <a:xfrm xmlns:a="http://schemas.openxmlformats.org/drawingml/2006/main">
          <a:off x="485176" y="1298893"/>
          <a:ext cx="4859716" cy="343291"/>
          <a:chOff x="485176" y="1298893"/>
          <a:chExt cx="4859716" cy="343291"/>
        </a:xfrm>
      </cdr:grpSpPr>
      <cdr:cxnSp macro="">
        <cdr:nvCxnSpPr>
          <cdr:cNvPr id="3" name="Straight Connector 2"/>
          <cdr:cNvCxnSpPr/>
        </cdr:nvCxnSpPr>
        <cdr:spPr>
          <a:xfrm xmlns:a="http://schemas.openxmlformats.org/drawingml/2006/main" flipV="1">
            <a:off x="485391" y="1625382"/>
            <a:ext cx="4859501" cy="16802"/>
          </a:xfrm>
          <a:prstGeom xmlns:a="http://schemas.openxmlformats.org/drawingml/2006/main" prst="line">
            <a:avLst/>
          </a:prstGeom>
          <a:ln xmlns:a="http://schemas.openxmlformats.org/drawingml/2006/main">
            <a:prstDash val="sys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5" name="Straight Connector 4"/>
          <cdr:cNvCxnSpPr/>
        </cdr:nvCxnSpPr>
        <cdr:spPr>
          <a:xfrm xmlns:a="http://schemas.openxmlformats.org/drawingml/2006/main" flipV="1">
            <a:off x="485176" y="1298893"/>
            <a:ext cx="4820415" cy="15598"/>
          </a:xfrm>
          <a:prstGeom xmlns:a="http://schemas.openxmlformats.org/drawingml/2006/main" prst="line">
            <a:avLst/>
          </a:prstGeom>
          <a:ln xmlns:a="http://schemas.openxmlformats.org/drawingml/2006/main">
            <a:prstDash val="sys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grpSp>
  </cdr:relSizeAnchor>
  <cdr:relSizeAnchor xmlns:cdr="http://schemas.openxmlformats.org/drawingml/2006/chartDrawing">
    <cdr:from>
      <cdr:x>0.1511</cdr:x>
      <cdr:y>0.14786</cdr:y>
    </cdr:from>
    <cdr:to>
      <cdr:x>0.3073</cdr:x>
      <cdr:y>0.22319</cdr:y>
    </cdr:to>
    <cdr:sp macro="" textlink="">
      <cdr:nvSpPr>
        <cdr:cNvPr id="7" name="Text Box 2"/>
        <cdr:cNvSpPr txBox="1">
          <a:spLocks xmlns:a="http://schemas.openxmlformats.org/drawingml/2006/main" noChangeArrowheads="1"/>
        </cdr:cNvSpPr>
      </cdr:nvSpPr>
      <cdr:spPr bwMode="auto">
        <a:xfrm xmlns:a="http://schemas.openxmlformats.org/drawingml/2006/main">
          <a:off x="847725" y="485886"/>
          <a:ext cx="876300" cy="247539"/>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AU"/>
            <a:t>Brazil 2015</a:t>
          </a:r>
        </a:p>
      </cdr:txBody>
    </cdr:sp>
  </cdr:relSizeAnchor>
  <cdr:relSizeAnchor xmlns:cdr="http://schemas.openxmlformats.org/drawingml/2006/chartDrawing">
    <cdr:from>
      <cdr:x>0.1291</cdr:x>
      <cdr:y>0.27258</cdr:y>
    </cdr:from>
    <cdr:to>
      <cdr:x>0.22895</cdr:x>
      <cdr:y>0.38312</cdr:y>
    </cdr:to>
    <cdr:cxnSp macro="">
      <cdr:nvCxnSpPr>
        <cdr:cNvPr id="13" name="Straight Arrow Connector 12"/>
        <cdr:cNvCxnSpPr>
          <a:stCxn xmlns:a="http://schemas.openxmlformats.org/drawingml/2006/main" id="14" idx="1"/>
        </cdr:cNvCxnSpPr>
      </cdr:nvCxnSpPr>
      <cdr:spPr>
        <a:xfrm xmlns:a="http://schemas.openxmlformats.org/drawingml/2006/main" flipH="1">
          <a:off x="724281" y="895716"/>
          <a:ext cx="560180" cy="363264"/>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0.1094</cdr:x>
      <cdr:y>0.18552</cdr:y>
    </cdr:from>
    <cdr:to>
      <cdr:x>0.1511</cdr:x>
      <cdr:y>0.47774</cdr:y>
    </cdr:to>
    <cdr:cxnSp macro="">
      <cdr:nvCxnSpPr>
        <cdr:cNvPr id="10" name="Elbow Connector 9"/>
        <cdr:cNvCxnSpPr>
          <a:stCxn xmlns:a="http://schemas.openxmlformats.org/drawingml/2006/main" id="7" idx="1"/>
        </cdr:cNvCxnSpPr>
      </cdr:nvCxnSpPr>
      <cdr:spPr>
        <a:xfrm xmlns:a="http://schemas.openxmlformats.org/drawingml/2006/main" rot="10800000" flipV="1">
          <a:off x="613775" y="609658"/>
          <a:ext cx="233930" cy="960270"/>
        </a:xfrm>
        <a:prstGeom xmlns:a="http://schemas.openxmlformats.org/drawingml/2006/main" prst="bentConnector2">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0.22895</cdr:x>
      <cdr:y>0.23629</cdr:y>
    </cdr:from>
    <cdr:to>
      <cdr:x>0.37691</cdr:x>
      <cdr:y>0.30886</cdr:y>
    </cdr:to>
    <cdr:sp macro="" textlink="">
      <cdr:nvSpPr>
        <cdr:cNvPr id="14" name="Text Box 2"/>
        <cdr:cNvSpPr txBox="1">
          <a:spLocks xmlns:a="http://schemas.openxmlformats.org/drawingml/2006/main" noChangeArrowheads="1"/>
        </cdr:cNvSpPr>
      </cdr:nvSpPr>
      <cdr:spPr bwMode="auto">
        <a:xfrm xmlns:a="http://schemas.openxmlformats.org/drawingml/2006/main">
          <a:off x="1284461" y="776478"/>
          <a:ext cx="830089" cy="238475"/>
        </a:xfrm>
        <a:prstGeom xmlns:a="http://schemas.openxmlformats.org/drawingml/2006/main" prst="rect">
          <a:avLst/>
        </a:prstGeom>
        <a:solidFill xmlns:a="http://schemas.openxmlformats.org/drawingml/2006/main">
          <a:srgbClr val="FFFFFF"/>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AU"/>
            <a:t>Brazil</a:t>
          </a:r>
          <a:r>
            <a:rPr lang="en-AU" baseline="0"/>
            <a:t> 2030</a:t>
          </a:r>
          <a:endParaRPr lang="en-AU"/>
        </a:p>
      </cdr:txBody>
    </cdr:sp>
  </cdr:relSizeAnchor>
</c:userShapes>
</file>

<file path=word/drawings/drawing2.xml><?xml version="1.0" encoding="utf-8"?>
<c:userShapes xmlns:c="http://schemas.openxmlformats.org/drawingml/2006/chart">
  <cdr:relSizeAnchor xmlns:cdr="http://schemas.openxmlformats.org/drawingml/2006/chartDrawing">
    <cdr:from>
      <cdr:x>0.08848</cdr:x>
      <cdr:y>0.45107</cdr:y>
    </cdr:from>
    <cdr:to>
      <cdr:x>0.99348</cdr:x>
      <cdr:y>0.4519</cdr:y>
    </cdr:to>
    <cdr:cxnSp macro="">
      <cdr:nvCxnSpPr>
        <cdr:cNvPr id="3" name="Straight Connector 2"/>
        <cdr:cNvCxnSpPr/>
      </cdr:nvCxnSpPr>
      <cdr:spPr>
        <a:xfrm xmlns:a="http://schemas.openxmlformats.org/drawingml/2006/main" flipV="1">
          <a:off x="482075" y="1503745"/>
          <a:ext cx="4930712" cy="2767"/>
        </a:xfrm>
        <a:prstGeom xmlns:a="http://schemas.openxmlformats.org/drawingml/2006/main" prst="line">
          <a:avLst/>
        </a:prstGeom>
        <a:ln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0.09621</cdr:x>
      <cdr:y>0.32731</cdr:y>
    </cdr:from>
    <cdr:to>
      <cdr:x>0.98989</cdr:x>
      <cdr:y>0.33256</cdr:y>
    </cdr:to>
    <cdr:cxnSp macro="">
      <cdr:nvCxnSpPr>
        <cdr:cNvPr id="6" name="Straight Connector 5"/>
        <cdr:cNvCxnSpPr/>
      </cdr:nvCxnSpPr>
      <cdr:spPr>
        <a:xfrm xmlns:a="http://schemas.openxmlformats.org/drawingml/2006/main" flipV="1">
          <a:off x="524181" y="1091174"/>
          <a:ext cx="4869037" cy="17503"/>
        </a:xfrm>
        <a:prstGeom xmlns:a="http://schemas.openxmlformats.org/drawingml/2006/main" prst="line">
          <a:avLst/>
        </a:prstGeom>
        <a:ln xmlns:a="http://schemas.openxmlformats.org/drawingml/2006/main">
          <a:prstDash val="sys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0.16833</cdr:x>
      <cdr:y>0.12037</cdr:y>
    </cdr:from>
    <cdr:to>
      <cdr:x>0.16949</cdr:x>
      <cdr:y>0.19504</cdr:y>
    </cdr:to>
    <cdr:cxnSp macro="">
      <cdr:nvCxnSpPr>
        <cdr:cNvPr id="3" name="Straight Arrow Connector 2"/>
        <cdr:cNvCxnSpPr/>
      </cdr:nvCxnSpPr>
      <cdr:spPr>
        <a:xfrm xmlns:a="http://schemas.openxmlformats.org/drawingml/2006/main">
          <a:off x="766405" y="311848"/>
          <a:ext cx="5285" cy="193473"/>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C594C-8926-4B04-AE00-90216448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3378</Words>
  <Characters>19260</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22593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rjfinley</cp:lastModifiedBy>
  <cp:revision>2</cp:revision>
  <cp:lastPrinted>2015-11-07T00:21:00Z</cp:lastPrinted>
  <dcterms:created xsi:type="dcterms:W3CDTF">2016-01-07T20:57:00Z</dcterms:created>
  <dcterms:modified xsi:type="dcterms:W3CDTF">2016-01-07T20:57:00Z</dcterms:modified>
</cp:coreProperties>
</file>