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0021" w:rsidRDefault="00620021" w:rsidP="00B0530F">
      <w:pPr>
        <w:pStyle w:val="Title"/>
        <w:rPr>
          <w:rFonts w:ascii="Cambria" w:hAnsi="Cambria" w:cstheme="minorHAnsi"/>
          <w:b/>
          <w:color w:val="2F5496" w:themeColor="accent5" w:themeShade="BF"/>
          <w:spacing w:val="-10"/>
          <w:sz w:val="56"/>
          <w:szCs w:val="56"/>
          <w:lang w:eastAsia="en-AU"/>
        </w:rPr>
      </w:pPr>
      <w:bookmarkStart w:id="0" w:name="_Toc432083897"/>
      <w:bookmarkStart w:id="1" w:name="_GoBack"/>
      <w:bookmarkEnd w:id="1"/>
    </w:p>
    <w:p w:rsidR="00620021" w:rsidRDefault="00620021" w:rsidP="00B0530F">
      <w:pPr>
        <w:pStyle w:val="Title"/>
        <w:rPr>
          <w:rFonts w:ascii="Cambria" w:hAnsi="Cambria" w:cstheme="minorHAnsi"/>
          <w:b/>
          <w:color w:val="2F5496" w:themeColor="accent5" w:themeShade="BF"/>
          <w:spacing w:val="-10"/>
          <w:sz w:val="56"/>
          <w:szCs w:val="56"/>
          <w:lang w:eastAsia="en-AU"/>
        </w:rPr>
      </w:pPr>
    </w:p>
    <w:p w:rsidR="00620021" w:rsidRDefault="00B0530F" w:rsidP="00044D2D">
      <w:pPr>
        <w:pStyle w:val="Title"/>
        <w:rPr>
          <w:rFonts w:asciiTheme="minorHAnsi" w:eastAsiaTheme="minorHAnsi" w:hAnsiTheme="minorHAnsi"/>
          <w:b/>
          <w:sz w:val="40"/>
          <w:szCs w:val="40"/>
        </w:rPr>
      </w:pPr>
      <w:r w:rsidRPr="00620021">
        <w:rPr>
          <w:rFonts w:ascii="Cambria" w:hAnsi="Cambria" w:cstheme="minorHAnsi"/>
          <w:b/>
          <w:color w:val="2F5496" w:themeColor="accent5" w:themeShade="BF"/>
          <w:spacing w:val="-10"/>
          <w:sz w:val="56"/>
          <w:szCs w:val="56"/>
          <w:lang w:eastAsia="en-AU"/>
        </w:rPr>
        <w:t xml:space="preserve">Economic Costs of Absenteeism, Presenteeism and Early Retirement Due to Ill Health: A Focus on </w:t>
      </w:r>
      <w:r w:rsidR="00044D2D">
        <w:rPr>
          <w:rFonts w:ascii="Cambria" w:hAnsi="Cambria" w:cstheme="minorHAnsi"/>
          <w:b/>
          <w:color w:val="2F5496" w:themeColor="accent5" w:themeShade="BF"/>
          <w:spacing w:val="-10"/>
          <w:sz w:val="56"/>
          <w:szCs w:val="56"/>
          <w:lang w:eastAsia="en-AU"/>
        </w:rPr>
        <w:t>Jiangsu, China</w:t>
      </w:r>
    </w:p>
    <w:p w:rsidR="00620021" w:rsidRDefault="00620021" w:rsidP="00EA21D7">
      <w:pPr>
        <w:rPr>
          <w:rFonts w:asciiTheme="minorHAnsi" w:eastAsiaTheme="minorHAnsi" w:hAnsiTheme="minorHAnsi"/>
          <w:b/>
          <w:sz w:val="40"/>
          <w:szCs w:val="40"/>
        </w:rPr>
      </w:pPr>
    </w:p>
    <w:p w:rsidR="00EA21D7" w:rsidRPr="00EA21D7" w:rsidRDefault="00EA21D7" w:rsidP="00EA21D7">
      <w:pPr>
        <w:rPr>
          <w:rFonts w:asciiTheme="minorHAnsi" w:eastAsiaTheme="minorHAnsi" w:hAnsiTheme="minorHAnsi"/>
          <w:b/>
          <w:sz w:val="40"/>
          <w:szCs w:val="40"/>
        </w:rPr>
      </w:pPr>
      <w:r w:rsidRPr="00EA21D7">
        <w:rPr>
          <w:rFonts w:asciiTheme="minorHAnsi" w:eastAsiaTheme="minorHAnsi" w:hAnsiTheme="minorHAnsi"/>
          <w:b/>
          <w:sz w:val="40"/>
          <w:szCs w:val="40"/>
        </w:rPr>
        <w:t xml:space="preserve">Report to the US Chamber of Commerce </w:t>
      </w:r>
    </w:p>
    <w:p w:rsidR="00620021" w:rsidRDefault="00620021" w:rsidP="00620021">
      <w:pPr>
        <w:pStyle w:val="Heading1"/>
        <w:rPr>
          <w:rFonts w:asciiTheme="minorHAnsi" w:eastAsiaTheme="minorHAnsi" w:hAnsiTheme="minorHAnsi" w:cstheme="minorBidi"/>
          <w:b w:val="0"/>
          <w:bCs w:val="0"/>
          <w:color w:val="auto"/>
          <w:sz w:val="28"/>
          <w:szCs w:val="28"/>
        </w:rPr>
      </w:pPr>
    </w:p>
    <w:p w:rsidR="00EB4CC2" w:rsidRDefault="00B0530F" w:rsidP="00396C98">
      <w:pPr>
        <w:pStyle w:val="Heading1"/>
        <w:spacing w:before="0" w:after="0"/>
        <w:rPr>
          <w:rFonts w:asciiTheme="minorHAnsi" w:eastAsiaTheme="minorHAnsi" w:hAnsiTheme="minorHAnsi" w:cstheme="minorBidi"/>
          <w:b w:val="0"/>
          <w:bCs w:val="0"/>
          <w:color w:val="auto"/>
          <w:sz w:val="28"/>
          <w:szCs w:val="28"/>
        </w:rPr>
      </w:pPr>
      <w:r w:rsidRPr="00EA21D7">
        <w:rPr>
          <w:rFonts w:asciiTheme="minorHAnsi" w:eastAsiaTheme="minorHAnsi" w:hAnsiTheme="minorHAnsi" w:cstheme="minorBidi"/>
          <w:b w:val="0"/>
          <w:bCs w:val="0"/>
          <w:color w:val="auto"/>
          <w:sz w:val="28"/>
          <w:szCs w:val="28"/>
        </w:rPr>
        <w:t>Bruce Rasmussen</w:t>
      </w:r>
      <w:r w:rsidR="00620021">
        <w:rPr>
          <w:rFonts w:asciiTheme="minorHAnsi" w:eastAsiaTheme="minorHAnsi" w:hAnsiTheme="minorHAnsi" w:cstheme="minorBidi"/>
          <w:b w:val="0"/>
          <w:bCs w:val="0"/>
          <w:color w:val="auto"/>
          <w:sz w:val="28"/>
          <w:szCs w:val="28"/>
        </w:rPr>
        <w:br/>
      </w:r>
      <w:r w:rsidRPr="00620021">
        <w:rPr>
          <w:rFonts w:asciiTheme="minorHAnsi" w:eastAsiaTheme="minorHAnsi" w:hAnsiTheme="minorHAnsi" w:cstheme="minorBidi"/>
          <w:b w:val="0"/>
          <w:bCs w:val="0"/>
          <w:color w:val="auto"/>
          <w:sz w:val="28"/>
          <w:szCs w:val="28"/>
        </w:rPr>
        <w:t>Kim Sweeny</w:t>
      </w:r>
      <w:r w:rsidR="00620021" w:rsidRPr="00620021">
        <w:rPr>
          <w:rFonts w:asciiTheme="minorHAnsi" w:eastAsiaTheme="minorHAnsi" w:hAnsiTheme="minorHAnsi" w:cstheme="minorBidi"/>
          <w:b w:val="0"/>
          <w:bCs w:val="0"/>
          <w:color w:val="auto"/>
          <w:sz w:val="28"/>
          <w:szCs w:val="28"/>
        </w:rPr>
        <w:br/>
      </w:r>
      <w:r w:rsidRPr="00620021">
        <w:rPr>
          <w:rFonts w:asciiTheme="minorHAnsi" w:eastAsiaTheme="minorHAnsi" w:hAnsiTheme="minorHAnsi" w:cstheme="minorBidi"/>
          <w:b w:val="0"/>
          <w:bCs w:val="0"/>
          <w:color w:val="auto"/>
          <w:sz w:val="28"/>
          <w:szCs w:val="28"/>
        </w:rPr>
        <w:t>Peter Sheehan</w:t>
      </w:r>
    </w:p>
    <w:p w:rsidR="00620021" w:rsidRPr="00EB4CC2" w:rsidRDefault="00E648AD" w:rsidP="00396C98">
      <w:pPr>
        <w:pStyle w:val="NoSpacing"/>
        <w:spacing w:line="276" w:lineRule="auto"/>
        <w:rPr>
          <w:rFonts w:asciiTheme="minorHAnsi" w:eastAsiaTheme="minorHAnsi" w:hAnsiTheme="minorHAnsi"/>
          <w:sz w:val="28"/>
          <w:szCs w:val="28"/>
        </w:rPr>
      </w:pPr>
      <w:r w:rsidRPr="00EB4CC2">
        <w:rPr>
          <w:rFonts w:asciiTheme="minorHAnsi" w:eastAsiaTheme="minorHAnsi" w:hAnsiTheme="minorHAnsi"/>
          <w:sz w:val="28"/>
          <w:szCs w:val="28"/>
        </w:rPr>
        <w:t>Alison Welsh</w:t>
      </w:r>
    </w:p>
    <w:p w:rsidR="00620021" w:rsidRDefault="00620021" w:rsidP="00EA21D7">
      <w:pPr>
        <w:spacing w:after="0" w:line="259" w:lineRule="auto"/>
        <w:rPr>
          <w:rFonts w:eastAsia="Calibri" w:cs="Times New Roman"/>
          <w:sz w:val="28"/>
          <w:szCs w:val="28"/>
        </w:rPr>
      </w:pPr>
    </w:p>
    <w:p w:rsidR="00620021" w:rsidRDefault="00620021" w:rsidP="00EA21D7">
      <w:pPr>
        <w:spacing w:after="0" w:line="259" w:lineRule="auto"/>
        <w:rPr>
          <w:rFonts w:eastAsia="Calibri" w:cs="Times New Roman"/>
          <w:sz w:val="28"/>
          <w:szCs w:val="28"/>
        </w:rPr>
      </w:pPr>
    </w:p>
    <w:p w:rsidR="00EA21D7" w:rsidRPr="001071FB" w:rsidRDefault="00EA21D7" w:rsidP="00EA21D7">
      <w:pPr>
        <w:spacing w:after="0" w:line="259" w:lineRule="auto"/>
        <w:rPr>
          <w:rFonts w:eastAsia="Calibri" w:cs="Times New Roman"/>
          <w:sz w:val="24"/>
        </w:rPr>
      </w:pPr>
      <w:r w:rsidRPr="001071FB">
        <w:rPr>
          <w:rFonts w:eastAsia="Calibri" w:cs="Times New Roman"/>
          <w:sz w:val="24"/>
        </w:rPr>
        <w:t>Victoria Institute of Strategic Economic Studies</w:t>
      </w:r>
    </w:p>
    <w:p w:rsidR="00EA21D7" w:rsidRPr="001071FB" w:rsidRDefault="00EA21D7" w:rsidP="00EA21D7">
      <w:pPr>
        <w:spacing w:after="0" w:line="259" w:lineRule="auto"/>
        <w:rPr>
          <w:rFonts w:eastAsia="Calibri" w:cs="Times New Roman"/>
          <w:sz w:val="24"/>
        </w:rPr>
      </w:pPr>
      <w:r w:rsidRPr="001071FB">
        <w:rPr>
          <w:rFonts w:eastAsia="Calibri" w:cs="Times New Roman"/>
          <w:sz w:val="24"/>
        </w:rPr>
        <w:t>Victoria University, Melbourne</w:t>
      </w:r>
    </w:p>
    <w:p w:rsidR="00B0530F" w:rsidRDefault="00044D2D" w:rsidP="00B0530F">
      <w:r>
        <w:t>September</w:t>
      </w:r>
      <w:r w:rsidR="00A34C96">
        <w:t xml:space="preserve"> 2017</w:t>
      </w:r>
    </w:p>
    <w:p w:rsidR="00620021" w:rsidRDefault="00620021" w:rsidP="00620021">
      <w:pPr>
        <w:spacing w:after="160" w:line="259" w:lineRule="auto"/>
      </w:pPr>
    </w:p>
    <w:p w:rsidR="00620021" w:rsidRDefault="00620021" w:rsidP="00620021">
      <w:pPr>
        <w:spacing w:after="0"/>
      </w:pPr>
    </w:p>
    <w:p w:rsidR="00620021" w:rsidRDefault="00620021" w:rsidP="00620021">
      <w:pPr>
        <w:spacing w:after="0"/>
      </w:pPr>
    </w:p>
    <w:p w:rsidR="00620021" w:rsidRDefault="00620021" w:rsidP="00620021">
      <w:pPr>
        <w:spacing w:after="0"/>
      </w:pPr>
    </w:p>
    <w:p w:rsidR="00620021" w:rsidRDefault="00620021" w:rsidP="00620021">
      <w:pPr>
        <w:spacing w:after="0"/>
      </w:pPr>
    </w:p>
    <w:p w:rsidR="00620021" w:rsidRDefault="00620021" w:rsidP="00620021">
      <w:pPr>
        <w:spacing w:after="0"/>
      </w:pPr>
    </w:p>
    <w:p w:rsidR="00620021" w:rsidRDefault="00620021" w:rsidP="00620021">
      <w:pPr>
        <w:spacing w:after="0"/>
      </w:pPr>
    </w:p>
    <w:p w:rsidR="00620021" w:rsidRDefault="00620021" w:rsidP="00620021">
      <w:pPr>
        <w:spacing w:after="0"/>
      </w:pPr>
    </w:p>
    <w:p w:rsidR="00620021" w:rsidRDefault="00620021" w:rsidP="00620021">
      <w:pPr>
        <w:spacing w:after="0"/>
      </w:pPr>
    </w:p>
    <w:p w:rsidR="00620021" w:rsidRDefault="00620021" w:rsidP="00620021">
      <w:pPr>
        <w:spacing w:after="0"/>
      </w:pPr>
    </w:p>
    <w:p w:rsidR="00620021" w:rsidRDefault="00620021" w:rsidP="00620021">
      <w:pPr>
        <w:spacing w:after="0"/>
      </w:pPr>
    </w:p>
    <w:p w:rsidR="00620021" w:rsidRDefault="00620021" w:rsidP="00620021">
      <w:pPr>
        <w:spacing w:after="0"/>
      </w:pPr>
    </w:p>
    <w:p w:rsidR="00620021" w:rsidRDefault="00620021" w:rsidP="00620021">
      <w:pPr>
        <w:spacing w:after="0"/>
      </w:pPr>
    </w:p>
    <w:p w:rsidR="00620021" w:rsidRDefault="00620021" w:rsidP="00620021">
      <w:pPr>
        <w:spacing w:after="0"/>
      </w:pPr>
    </w:p>
    <w:p w:rsidR="00620021" w:rsidRDefault="00620021" w:rsidP="00620021">
      <w:pPr>
        <w:spacing w:after="0"/>
      </w:pPr>
    </w:p>
    <w:p w:rsidR="00620021" w:rsidRDefault="00620021" w:rsidP="00620021">
      <w:pPr>
        <w:spacing w:after="0"/>
      </w:pPr>
    </w:p>
    <w:p w:rsidR="00620021" w:rsidRDefault="00620021" w:rsidP="00620021">
      <w:pPr>
        <w:spacing w:after="0"/>
      </w:pPr>
    </w:p>
    <w:p w:rsidR="00620021" w:rsidRDefault="00620021" w:rsidP="00620021">
      <w:pPr>
        <w:spacing w:after="0"/>
      </w:pPr>
    </w:p>
    <w:p w:rsidR="00620021" w:rsidRDefault="00620021" w:rsidP="00620021">
      <w:pPr>
        <w:spacing w:after="0"/>
      </w:pPr>
    </w:p>
    <w:p w:rsidR="00620021" w:rsidRDefault="00620021" w:rsidP="00620021">
      <w:pPr>
        <w:spacing w:after="0"/>
      </w:pPr>
    </w:p>
    <w:p w:rsidR="00620021" w:rsidRDefault="00620021" w:rsidP="00620021">
      <w:pPr>
        <w:spacing w:after="0"/>
      </w:pPr>
    </w:p>
    <w:p w:rsidR="00620021" w:rsidRDefault="00620021" w:rsidP="00620021">
      <w:pPr>
        <w:spacing w:after="0"/>
      </w:pPr>
    </w:p>
    <w:p w:rsidR="00620021" w:rsidRDefault="00620021" w:rsidP="00620021">
      <w:pPr>
        <w:spacing w:after="0"/>
      </w:pPr>
    </w:p>
    <w:p w:rsidR="00620021" w:rsidRDefault="00620021" w:rsidP="00620021">
      <w:pPr>
        <w:spacing w:after="0"/>
      </w:pPr>
    </w:p>
    <w:p w:rsidR="00620021" w:rsidRDefault="00620021" w:rsidP="00620021">
      <w:pPr>
        <w:spacing w:after="0"/>
      </w:pPr>
    </w:p>
    <w:p w:rsidR="00620021" w:rsidRDefault="00620021" w:rsidP="00620021">
      <w:pPr>
        <w:spacing w:after="0"/>
      </w:pPr>
    </w:p>
    <w:p w:rsidR="00620021" w:rsidRDefault="00620021" w:rsidP="00620021">
      <w:pPr>
        <w:spacing w:after="0"/>
      </w:pPr>
    </w:p>
    <w:p w:rsidR="00620021" w:rsidRDefault="00620021" w:rsidP="00620021">
      <w:pPr>
        <w:spacing w:after="0"/>
      </w:pPr>
    </w:p>
    <w:p w:rsidR="00620021" w:rsidRDefault="00620021" w:rsidP="00620021">
      <w:pPr>
        <w:spacing w:after="0"/>
      </w:pPr>
    </w:p>
    <w:p w:rsidR="00620021" w:rsidRDefault="00620021" w:rsidP="00620021">
      <w:pPr>
        <w:spacing w:after="0"/>
      </w:pPr>
    </w:p>
    <w:p w:rsidR="00BD745A" w:rsidRDefault="00BD745A" w:rsidP="00620021">
      <w:pPr>
        <w:spacing w:after="0"/>
      </w:pPr>
    </w:p>
    <w:p w:rsidR="00620021" w:rsidRDefault="00620021" w:rsidP="00620021">
      <w:pPr>
        <w:spacing w:after="0"/>
      </w:pPr>
    </w:p>
    <w:p w:rsidR="00E648AD" w:rsidRDefault="00E648AD" w:rsidP="00620021">
      <w:pPr>
        <w:spacing w:after="0"/>
      </w:pPr>
    </w:p>
    <w:p w:rsidR="00620021" w:rsidRDefault="00620021" w:rsidP="00620021">
      <w:pPr>
        <w:spacing w:after="0"/>
      </w:pPr>
    </w:p>
    <w:p w:rsidR="004C58FF" w:rsidRDefault="004C58FF" w:rsidP="00620021">
      <w:pPr>
        <w:spacing w:after="0"/>
      </w:pPr>
    </w:p>
    <w:p w:rsidR="004C58FF" w:rsidRDefault="004C58FF" w:rsidP="00620021">
      <w:pPr>
        <w:spacing w:after="0"/>
      </w:pPr>
    </w:p>
    <w:p w:rsidR="004C58FF" w:rsidRDefault="004C58FF" w:rsidP="00620021">
      <w:pPr>
        <w:spacing w:after="0"/>
      </w:pPr>
    </w:p>
    <w:p w:rsidR="004C58FF" w:rsidRDefault="004C58FF" w:rsidP="00620021">
      <w:pPr>
        <w:spacing w:after="0"/>
      </w:pPr>
    </w:p>
    <w:p w:rsidR="004C58FF" w:rsidRDefault="004C58FF" w:rsidP="00620021">
      <w:pPr>
        <w:spacing w:after="0"/>
      </w:pPr>
    </w:p>
    <w:p w:rsidR="004C58FF" w:rsidRDefault="004C58FF" w:rsidP="00620021">
      <w:pPr>
        <w:spacing w:after="0"/>
      </w:pPr>
    </w:p>
    <w:p w:rsidR="00A34C96" w:rsidRDefault="00620021" w:rsidP="00620021">
      <w:pPr>
        <w:spacing w:after="0"/>
        <w:rPr>
          <w:rFonts w:eastAsia="Times New Roman" w:cs="Times New Roman"/>
          <w:lang w:eastAsia="en-AU"/>
        </w:rPr>
      </w:pPr>
      <w:r w:rsidRPr="00A84A63">
        <w:rPr>
          <w:rFonts w:eastAsia="Times New Roman" w:cs="Times New Roman"/>
          <w:lang w:eastAsia="en-AU"/>
        </w:rPr>
        <w:t>201</w:t>
      </w:r>
      <w:r w:rsidR="00A34C96">
        <w:rPr>
          <w:rFonts w:eastAsia="Times New Roman" w:cs="Times New Roman"/>
          <w:lang w:eastAsia="en-AU"/>
        </w:rPr>
        <w:t>7</w:t>
      </w:r>
    </w:p>
    <w:p w:rsidR="00620021" w:rsidRPr="00A84A63" w:rsidRDefault="00620021" w:rsidP="00620021">
      <w:pPr>
        <w:spacing w:after="0"/>
        <w:rPr>
          <w:rFonts w:eastAsia="Times New Roman" w:cs="Times New Roman"/>
          <w:lang w:eastAsia="en-AU"/>
        </w:rPr>
      </w:pPr>
      <w:r w:rsidRPr="00A84A63">
        <w:rPr>
          <w:rFonts w:eastAsia="Times New Roman" w:cs="Times New Roman"/>
          <w:lang w:eastAsia="en-AU"/>
        </w:rPr>
        <w:t>Victoria Institute of Strategic Economic Studies</w:t>
      </w:r>
    </w:p>
    <w:p w:rsidR="00620021" w:rsidRPr="00A84A63" w:rsidRDefault="00620021" w:rsidP="00620021">
      <w:pPr>
        <w:spacing w:after="0"/>
        <w:rPr>
          <w:rFonts w:eastAsia="Times New Roman" w:cs="Times New Roman"/>
          <w:lang w:eastAsia="en-AU"/>
        </w:rPr>
      </w:pPr>
      <w:r w:rsidRPr="00A84A63">
        <w:rPr>
          <w:rFonts w:eastAsia="Times New Roman" w:cs="Times New Roman"/>
          <w:lang w:eastAsia="en-AU"/>
        </w:rPr>
        <w:t>Victoria University</w:t>
      </w:r>
    </w:p>
    <w:p w:rsidR="00620021" w:rsidRPr="00A84A63" w:rsidRDefault="00620021" w:rsidP="00620021">
      <w:pPr>
        <w:spacing w:after="0"/>
        <w:rPr>
          <w:rFonts w:eastAsia="Times New Roman" w:cs="Times New Roman"/>
          <w:lang w:eastAsia="en-AU"/>
        </w:rPr>
      </w:pPr>
      <w:r w:rsidRPr="00A84A63">
        <w:rPr>
          <w:rFonts w:eastAsia="Times New Roman" w:cs="Times New Roman"/>
          <w:lang w:eastAsia="en-AU"/>
        </w:rPr>
        <w:t>PO Box 14428</w:t>
      </w:r>
    </w:p>
    <w:p w:rsidR="00620021" w:rsidRPr="00A84A63" w:rsidRDefault="00620021" w:rsidP="00620021">
      <w:pPr>
        <w:spacing w:after="0"/>
        <w:rPr>
          <w:rFonts w:eastAsia="Times New Roman" w:cs="Times New Roman"/>
          <w:lang w:eastAsia="en-AU"/>
        </w:rPr>
      </w:pPr>
      <w:r w:rsidRPr="00A84A63">
        <w:rPr>
          <w:rFonts w:eastAsia="Times New Roman" w:cs="Times New Roman"/>
          <w:lang w:eastAsia="en-AU"/>
        </w:rPr>
        <w:t>Melbourne VIC 8001</w:t>
      </w:r>
    </w:p>
    <w:p w:rsidR="00620021" w:rsidRPr="00A84A63" w:rsidRDefault="00620021" w:rsidP="00620021">
      <w:pPr>
        <w:spacing w:after="0"/>
        <w:rPr>
          <w:rFonts w:eastAsia="Times New Roman" w:cs="Times New Roman"/>
          <w:lang w:eastAsia="en-AU"/>
        </w:rPr>
      </w:pPr>
      <w:r w:rsidRPr="00A84A63">
        <w:rPr>
          <w:rFonts w:eastAsia="Times New Roman" w:cs="Times New Roman"/>
          <w:lang w:eastAsia="en-AU"/>
        </w:rPr>
        <w:t>For further information contact:</w:t>
      </w:r>
    </w:p>
    <w:p w:rsidR="00620021" w:rsidRPr="00A84A63" w:rsidRDefault="00620021" w:rsidP="00620021">
      <w:pPr>
        <w:spacing w:after="0"/>
        <w:rPr>
          <w:rFonts w:eastAsia="Times New Roman" w:cs="Times New Roman"/>
          <w:lang w:val="fr-FR" w:eastAsia="en-AU"/>
        </w:rPr>
      </w:pPr>
      <w:r>
        <w:rPr>
          <w:rFonts w:eastAsia="Times New Roman" w:cs="Times New Roman"/>
          <w:lang w:val="fr-FR" w:eastAsia="en-AU"/>
        </w:rPr>
        <w:t xml:space="preserve">Prof. </w:t>
      </w:r>
      <w:r w:rsidRPr="00A84A63">
        <w:rPr>
          <w:rFonts w:eastAsia="Times New Roman" w:cs="Times New Roman"/>
          <w:lang w:val="fr-FR" w:eastAsia="en-AU"/>
        </w:rPr>
        <w:t>Bruce Rasmussen</w:t>
      </w:r>
    </w:p>
    <w:p w:rsidR="00620021" w:rsidRDefault="00494416" w:rsidP="00620021">
      <w:pPr>
        <w:spacing w:after="0"/>
        <w:rPr>
          <w:rStyle w:val="Hyperlink"/>
        </w:rPr>
      </w:pPr>
      <w:hyperlink r:id="rId8" w:history="1">
        <w:r w:rsidR="00620021" w:rsidRPr="00A84A63">
          <w:rPr>
            <w:rStyle w:val="Hyperlink"/>
          </w:rPr>
          <w:t>Bruce.Rasmussen@vu.edu.au</w:t>
        </w:r>
      </w:hyperlink>
    </w:p>
    <w:p w:rsidR="001071FB" w:rsidRDefault="001071FB" w:rsidP="009A16BC">
      <w:pPr>
        <w:pStyle w:val="Heading2"/>
        <w:sectPr w:rsidR="001071FB" w:rsidSect="00EA21D7">
          <w:footerReference w:type="default" r:id="rId9"/>
          <w:pgSz w:w="12242" w:h="15842" w:code="1"/>
          <w:pgMar w:top="1440" w:right="1440" w:bottom="1440" w:left="1440" w:header="709" w:footer="709" w:gutter="0"/>
          <w:cols w:space="708"/>
          <w:titlePg/>
          <w:docGrid w:linePitch="360"/>
        </w:sectPr>
      </w:pPr>
    </w:p>
    <w:p w:rsidR="00B0530F" w:rsidRDefault="00B0530F" w:rsidP="009A16BC">
      <w:pPr>
        <w:pStyle w:val="Heading2"/>
      </w:pPr>
      <w:r>
        <w:lastRenderedPageBreak/>
        <w:t>Executive Summary</w:t>
      </w:r>
    </w:p>
    <w:p w:rsidR="00D54128" w:rsidRPr="00D54128" w:rsidRDefault="00D54128" w:rsidP="00D54128">
      <w:r w:rsidRPr="00D54128">
        <w:t xml:space="preserve">Jiangsu is a province of China located along the eastern coast. With </w:t>
      </w:r>
      <w:r w:rsidR="004C58FF">
        <w:t xml:space="preserve">the </w:t>
      </w:r>
      <w:r w:rsidRPr="00D54128">
        <w:t>Yellow Sea to its east, Jiangsu adjoins Anhui and Shandong provinces in the west and north respectively, with Zhejiang province and the city of Shanghai as its neighbours in the southeast.</w:t>
      </w:r>
      <w:r>
        <w:t xml:space="preserve"> Its capital city is Nanjing. Jiangsu has a population of 7.9 million in 2015 representing about 6% of China’s population. It accounts for 10.8% of China’s Gross Regional Product of which the Tertiary sector represents 48.6%, Secondary sector 45.7% and Primary sector 5.7% (</w:t>
      </w:r>
      <w:r w:rsidR="005E5CB1">
        <w:t>National Bureau of Statistics China</w:t>
      </w:r>
      <w:r>
        <w:t xml:space="preserve"> 2016)</w:t>
      </w:r>
      <w:r w:rsidR="004C58FF">
        <w:t>.</w:t>
      </w:r>
    </w:p>
    <w:p w:rsidR="0094422D" w:rsidRDefault="0094422D" w:rsidP="00620021">
      <w:pPr>
        <w:rPr>
          <w:color w:val="000000"/>
        </w:rPr>
      </w:pPr>
      <w:r>
        <w:rPr>
          <w:color w:val="000000"/>
        </w:rPr>
        <w:t xml:space="preserve">This report provides estimates </w:t>
      </w:r>
      <w:r w:rsidR="00AC16A7">
        <w:rPr>
          <w:color w:val="000000"/>
        </w:rPr>
        <w:t>of</w:t>
      </w:r>
      <w:r>
        <w:rPr>
          <w:color w:val="000000"/>
        </w:rPr>
        <w:t xml:space="preserve"> the economic cost due to productivity losses </w:t>
      </w:r>
      <w:r w:rsidR="00AC16A7">
        <w:rPr>
          <w:color w:val="000000"/>
        </w:rPr>
        <w:t>arising from absenteeism</w:t>
      </w:r>
      <w:r>
        <w:rPr>
          <w:color w:val="000000"/>
        </w:rPr>
        <w:t xml:space="preserve">, presenteeism and early retirement due to ill health. For </w:t>
      </w:r>
      <w:r w:rsidR="00E648AD">
        <w:rPr>
          <w:color w:val="000000"/>
        </w:rPr>
        <w:t>Jiangsu</w:t>
      </w:r>
      <w:r w:rsidR="00B11DBC">
        <w:rPr>
          <w:color w:val="000000"/>
        </w:rPr>
        <w:t>,</w:t>
      </w:r>
      <w:r w:rsidR="00987E39">
        <w:rPr>
          <w:color w:val="000000"/>
        </w:rPr>
        <w:t xml:space="preserve"> </w:t>
      </w:r>
      <w:r>
        <w:rPr>
          <w:color w:val="000000"/>
        </w:rPr>
        <w:t xml:space="preserve">these losses equate to a total of </w:t>
      </w:r>
      <w:r w:rsidR="00E436C6">
        <w:rPr>
          <w:color w:val="000000"/>
        </w:rPr>
        <w:t>5.</w:t>
      </w:r>
      <w:r w:rsidR="00C87F32">
        <w:rPr>
          <w:color w:val="000000"/>
        </w:rPr>
        <w:t>3</w:t>
      </w:r>
      <w:r>
        <w:rPr>
          <w:color w:val="000000"/>
        </w:rPr>
        <w:t xml:space="preserve">% of GDP </w:t>
      </w:r>
      <w:r w:rsidR="00987E39">
        <w:rPr>
          <w:color w:val="000000"/>
        </w:rPr>
        <w:t>in 2015</w:t>
      </w:r>
      <w:r w:rsidR="004C58FF">
        <w:rPr>
          <w:color w:val="000000"/>
        </w:rPr>
        <w:t>,</w:t>
      </w:r>
      <w:r w:rsidR="00987E39">
        <w:rPr>
          <w:color w:val="000000"/>
        </w:rPr>
        <w:t xml:space="preserve"> </w:t>
      </w:r>
      <w:r>
        <w:rPr>
          <w:color w:val="000000"/>
        </w:rPr>
        <w:t>as shown in Table ES 1</w:t>
      </w:r>
      <w:r w:rsidR="00B11DBC">
        <w:rPr>
          <w:color w:val="000000"/>
        </w:rPr>
        <w:t>,</w:t>
      </w:r>
      <w:r w:rsidR="00987E39">
        <w:rPr>
          <w:color w:val="000000"/>
        </w:rPr>
        <w:t xml:space="preserve"> increasing to </w:t>
      </w:r>
      <w:r w:rsidR="00E436C6">
        <w:rPr>
          <w:color w:val="000000"/>
        </w:rPr>
        <w:t>6.3</w:t>
      </w:r>
      <w:r w:rsidR="00987E39">
        <w:rPr>
          <w:color w:val="000000"/>
        </w:rPr>
        <w:t xml:space="preserve">% of GDP by </w:t>
      </w:r>
      <w:r w:rsidR="00645804">
        <w:rPr>
          <w:color w:val="000000"/>
        </w:rPr>
        <w:t xml:space="preserve">2030. </w:t>
      </w:r>
    </w:p>
    <w:p w:rsidR="0094422D" w:rsidRDefault="0094422D" w:rsidP="0094422D">
      <w:pPr>
        <w:spacing w:after="0"/>
        <w:rPr>
          <w:b/>
          <w:sz w:val="20"/>
          <w:szCs w:val="20"/>
        </w:rPr>
      </w:pPr>
      <w:r w:rsidRPr="001071FB">
        <w:rPr>
          <w:b/>
          <w:sz w:val="20"/>
          <w:szCs w:val="20"/>
        </w:rPr>
        <w:t xml:space="preserve">Table </w:t>
      </w:r>
      <w:r w:rsidR="00987E39">
        <w:rPr>
          <w:b/>
          <w:sz w:val="20"/>
          <w:szCs w:val="20"/>
        </w:rPr>
        <w:t xml:space="preserve">ES1 </w:t>
      </w:r>
      <w:r w:rsidR="00987E39" w:rsidRPr="001071FB">
        <w:rPr>
          <w:b/>
          <w:sz w:val="20"/>
          <w:szCs w:val="20"/>
        </w:rPr>
        <w:t>Total</w:t>
      </w:r>
      <w:r w:rsidRPr="001071FB">
        <w:rPr>
          <w:b/>
          <w:sz w:val="20"/>
          <w:szCs w:val="20"/>
        </w:rPr>
        <w:t xml:space="preserve"> </w:t>
      </w:r>
      <w:r w:rsidR="00B11DBC">
        <w:rPr>
          <w:b/>
          <w:sz w:val="20"/>
          <w:szCs w:val="20"/>
        </w:rPr>
        <w:t>e</w:t>
      </w:r>
      <w:r w:rsidR="00B11DBC" w:rsidRPr="001071FB">
        <w:rPr>
          <w:b/>
          <w:sz w:val="20"/>
          <w:szCs w:val="20"/>
        </w:rPr>
        <w:t xml:space="preserve">conomic </w:t>
      </w:r>
      <w:r w:rsidRPr="001071FB">
        <w:rPr>
          <w:b/>
          <w:sz w:val="20"/>
          <w:szCs w:val="20"/>
        </w:rPr>
        <w:t>impact of absenteeism, presenteeism and early retirement</w:t>
      </w:r>
    </w:p>
    <w:tbl>
      <w:tblPr>
        <w:tblStyle w:val="LightList-Accent11"/>
        <w:tblW w:w="0" w:type="auto"/>
        <w:tblLayout w:type="fixed"/>
        <w:tblLook w:val="0420" w:firstRow="1" w:lastRow="0" w:firstColumn="0" w:lastColumn="0" w:noHBand="0" w:noVBand="1"/>
      </w:tblPr>
      <w:tblGrid>
        <w:gridCol w:w="1114"/>
        <w:gridCol w:w="1371"/>
        <w:gridCol w:w="1371"/>
        <w:gridCol w:w="1372"/>
        <w:gridCol w:w="1371"/>
        <w:gridCol w:w="1371"/>
        <w:gridCol w:w="1372"/>
      </w:tblGrid>
      <w:tr w:rsidR="005E5CB1" w:rsidRPr="005E5CB1" w:rsidTr="005E5CB1">
        <w:trPr>
          <w:cnfStyle w:val="100000000000" w:firstRow="1" w:lastRow="0" w:firstColumn="0" w:lastColumn="0" w:oddVBand="0" w:evenVBand="0" w:oddHBand="0" w:evenHBand="0" w:firstRowFirstColumn="0" w:firstRowLastColumn="0" w:lastRowFirstColumn="0" w:lastRowLastColumn="0"/>
        </w:trPr>
        <w:tc>
          <w:tcPr>
            <w:tcW w:w="1114" w:type="dxa"/>
            <w:tcBorders>
              <w:right w:val="single" w:sz="8" w:space="0" w:color="FFFFFF" w:themeColor="background1"/>
            </w:tcBorders>
          </w:tcPr>
          <w:p w:rsidR="00BA5658" w:rsidRPr="005E5CB1" w:rsidRDefault="00BA5658" w:rsidP="00BA5658">
            <w:pPr>
              <w:spacing w:after="0"/>
              <w:rPr>
                <w:rFonts w:asciiTheme="minorHAnsi" w:eastAsia="Times New Roman" w:hAnsiTheme="minorHAnsi" w:cstheme="minorHAnsi"/>
                <w:bCs w:val="0"/>
                <w:sz w:val="18"/>
                <w:szCs w:val="18"/>
                <w:lang w:eastAsia="en-AU"/>
              </w:rPr>
            </w:pPr>
          </w:p>
        </w:tc>
        <w:tc>
          <w:tcPr>
            <w:tcW w:w="4114" w:type="dxa"/>
            <w:gridSpan w:val="3"/>
            <w:tcBorders>
              <w:top w:val="single" w:sz="8" w:space="0" w:color="5B9BD5" w:themeColor="accent1"/>
              <w:left w:val="single" w:sz="8" w:space="0" w:color="FFFFFF" w:themeColor="background1"/>
              <w:right w:val="single" w:sz="8" w:space="0" w:color="FFFFFF" w:themeColor="background1"/>
            </w:tcBorders>
          </w:tcPr>
          <w:p w:rsidR="00BA5658" w:rsidRPr="005E5CB1" w:rsidRDefault="00BA5658" w:rsidP="00BA5658">
            <w:pPr>
              <w:spacing w:after="0"/>
              <w:jc w:val="center"/>
              <w:rPr>
                <w:rFonts w:asciiTheme="minorHAnsi" w:eastAsia="Times New Roman" w:hAnsiTheme="minorHAnsi" w:cstheme="minorHAnsi"/>
                <w:bCs w:val="0"/>
                <w:sz w:val="18"/>
                <w:szCs w:val="18"/>
                <w:lang w:eastAsia="en-AU"/>
              </w:rPr>
            </w:pPr>
            <w:r w:rsidRPr="005E5CB1">
              <w:rPr>
                <w:rFonts w:asciiTheme="minorHAnsi" w:eastAsia="Times New Roman" w:hAnsiTheme="minorHAnsi" w:cstheme="minorHAnsi"/>
                <w:sz w:val="18"/>
                <w:szCs w:val="18"/>
                <w:lang w:eastAsia="en-AU"/>
              </w:rPr>
              <w:t>2015</w:t>
            </w:r>
          </w:p>
        </w:tc>
        <w:tc>
          <w:tcPr>
            <w:tcW w:w="4114" w:type="dxa"/>
            <w:gridSpan w:val="3"/>
            <w:tcBorders>
              <w:top w:val="single" w:sz="8" w:space="0" w:color="5B9BD5" w:themeColor="accent1"/>
              <w:left w:val="single" w:sz="8" w:space="0" w:color="FFFFFF" w:themeColor="background1"/>
              <w:right w:val="nil"/>
            </w:tcBorders>
          </w:tcPr>
          <w:p w:rsidR="00BA5658" w:rsidRPr="005E5CB1" w:rsidRDefault="00BA5658" w:rsidP="00BA5658">
            <w:pPr>
              <w:spacing w:after="0"/>
              <w:jc w:val="center"/>
              <w:rPr>
                <w:rFonts w:asciiTheme="minorHAnsi" w:eastAsia="Times New Roman" w:hAnsiTheme="minorHAnsi" w:cstheme="minorHAnsi"/>
                <w:bCs w:val="0"/>
                <w:sz w:val="18"/>
                <w:szCs w:val="18"/>
                <w:lang w:eastAsia="en-AU"/>
              </w:rPr>
            </w:pPr>
            <w:r w:rsidRPr="005E5CB1">
              <w:rPr>
                <w:rFonts w:asciiTheme="minorHAnsi" w:eastAsia="Times New Roman" w:hAnsiTheme="minorHAnsi" w:cstheme="minorHAnsi"/>
                <w:sz w:val="18"/>
                <w:szCs w:val="18"/>
                <w:lang w:eastAsia="en-AU"/>
              </w:rPr>
              <w:t>2030</w:t>
            </w:r>
          </w:p>
        </w:tc>
      </w:tr>
      <w:tr w:rsidR="005E5CB1" w:rsidRPr="005E5CB1" w:rsidTr="005E5CB1">
        <w:trPr>
          <w:cnfStyle w:val="000000100000" w:firstRow="0" w:lastRow="0" w:firstColumn="0" w:lastColumn="0" w:oddVBand="0" w:evenVBand="0" w:oddHBand="1" w:evenHBand="0" w:firstRowFirstColumn="0" w:firstRowLastColumn="0" w:lastRowFirstColumn="0" w:lastRowLastColumn="0"/>
        </w:trPr>
        <w:tc>
          <w:tcPr>
            <w:tcW w:w="735" w:type="dxa"/>
            <w:tcBorders>
              <w:right w:val="single" w:sz="8" w:space="0" w:color="FFFFFF" w:themeColor="background1"/>
            </w:tcBorders>
            <w:shd w:val="clear" w:color="auto" w:fill="5B9BD5" w:themeFill="accent1"/>
            <w:hideMark/>
          </w:tcPr>
          <w:p w:rsidR="00884C8D" w:rsidRPr="005E5CB1" w:rsidRDefault="00884C8D" w:rsidP="00396C98">
            <w:pPr>
              <w:spacing w:after="0"/>
              <w:rPr>
                <w:rFonts w:asciiTheme="minorHAnsi" w:eastAsia="Times New Roman" w:hAnsiTheme="minorHAnsi" w:cstheme="minorHAnsi"/>
                <w:b/>
                <w:bCs/>
                <w:color w:val="FFFFFF" w:themeColor="background1"/>
                <w:sz w:val="18"/>
                <w:szCs w:val="18"/>
                <w:lang w:eastAsia="en-AU"/>
              </w:rPr>
            </w:pPr>
          </w:p>
        </w:tc>
        <w:tc>
          <w:tcPr>
            <w:tcW w:w="904" w:type="dxa"/>
            <w:tcBorders>
              <w:left w:val="single" w:sz="8" w:space="0" w:color="FFFFFF" w:themeColor="background1"/>
            </w:tcBorders>
            <w:shd w:val="clear" w:color="auto" w:fill="5B9BD5" w:themeFill="accent1"/>
            <w:hideMark/>
          </w:tcPr>
          <w:p w:rsidR="00884C8D" w:rsidRPr="005E5CB1" w:rsidRDefault="00884C8D" w:rsidP="00396C98">
            <w:pPr>
              <w:spacing w:after="0"/>
              <w:jc w:val="center"/>
              <w:rPr>
                <w:rFonts w:asciiTheme="minorHAnsi" w:eastAsia="Times New Roman" w:hAnsiTheme="minorHAnsi" w:cstheme="minorHAnsi"/>
                <w:b/>
                <w:bCs/>
                <w:color w:val="FFFFFF" w:themeColor="background1"/>
                <w:sz w:val="18"/>
                <w:szCs w:val="18"/>
                <w:lang w:eastAsia="en-AU"/>
              </w:rPr>
            </w:pPr>
            <w:r w:rsidRPr="005E5CB1">
              <w:rPr>
                <w:rFonts w:asciiTheme="minorHAnsi" w:eastAsia="Times New Roman" w:hAnsiTheme="minorHAnsi" w:cstheme="minorHAnsi"/>
                <w:b/>
                <w:bCs/>
                <w:color w:val="FFFFFF" w:themeColor="background1"/>
                <w:sz w:val="18"/>
                <w:szCs w:val="18"/>
                <w:lang w:eastAsia="en-AU"/>
              </w:rPr>
              <w:t>Early retirement due to ill health</w:t>
            </w:r>
          </w:p>
        </w:tc>
        <w:tc>
          <w:tcPr>
            <w:tcW w:w="904" w:type="dxa"/>
            <w:shd w:val="clear" w:color="auto" w:fill="5B9BD5" w:themeFill="accent1"/>
            <w:hideMark/>
          </w:tcPr>
          <w:p w:rsidR="00884C8D" w:rsidRPr="005E5CB1" w:rsidRDefault="00884C8D" w:rsidP="00396C98">
            <w:pPr>
              <w:spacing w:after="0"/>
              <w:jc w:val="center"/>
              <w:rPr>
                <w:rFonts w:asciiTheme="minorHAnsi" w:eastAsia="Times New Roman" w:hAnsiTheme="minorHAnsi" w:cstheme="minorHAnsi"/>
                <w:b/>
                <w:bCs/>
                <w:color w:val="FFFFFF" w:themeColor="background1"/>
                <w:sz w:val="18"/>
                <w:szCs w:val="18"/>
                <w:lang w:eastAsia="en-AU"/>
              </w:rPr>
            </w:pPr>
            <w:r w:rsidRPr="005E5CB1">
              <w:rPr>
                <w:rFonts w:asciiTheme="minorHAnsi" w:eastAsia="Times New Roman" w:hAnsiTheme="minorHAnsi" w:cstheme="minorHAnsi"/>
                <w:b/>
                <w:bCs/>
                <w:color w:val="FFFFFF" w:themeColor="background1"/>
                <w:sz w:val="18"/>
                <w:szCs w:val="18"/>
                <w:lang w:eastAsia="en-AU"/>
              </w:rPr>
              <w:t xml:space="preserve">Absenteeism + </w:t>
            </w:r>
            <w:r w:rsidR="00BA5658" w:rsidRPr="005E5CB1">
              <w:rPr>
                <w:rFonts w:asciiTheme="minorHAnsi" w:eastAsia="Times New Roman" w:hAnsiTheme="minorHAnsi" w:cstheme="minorHAnsi"/>
                <w:b/>
                <w:bCs/>
                <w:color w:val="FFFFFF" w:themeColor="background1"/>
                <w:sz w:val="18"/>
                <w:szCs w:val="18"/>
                <w:lang w:eastAsia="en-AU"/>
              </w:rPr>
              <w:t>presenteeism</w:t>
            </w:r>
          </w:p>
        </w:tc>
        <w:tc>
          <w:tcPr>
            <w:tcW w:w="905" w:type="dxa"/>
            <w:tcBorders>
              <w:right w:val="single" w:sz="8" w:space="0" w:color="FFFFFF" w:themeColor="background1"/>
            </w:tcBorders>
            <w:shd w:val="clear" w:color="auto" w:fill="5B9BD5" w:themeFill="accent1"/>
            <w:hideMark/>
          </w:tcPr>
          <w:p w:rsidR="00884C8D" w:rsidRPr="005E5CB1" w:rsidRDefault="00884C8D" w:rsidP="00396C98">
            <w:pPr>
              <w:spacing w:after="0"/>
              <w:jc w:val="center"/>
              <w:rPr>
                <w:rFonts w:asciiTheme="minorHAnsi" w:eastAsia="Times New Roman" w:hAnsiTheme="minorHAnsi" w:cstheme="minorHAnsi"/>
                <w:b/>
                <w:bCs/>
                <w:color w:val="FFFFFF" w:themeColor="background1"/>
                <w:sz w:val="18"/>
                <w:szCs w:val="18"/>
                <w:lang w:eastAsia="en-AU"/>
              </w:rPr>
            </w:pPr>
            <w:r w:rsidRPr="005E5CB1">
              <w:rPr>
                <w:rFonts w:asciiTheme="minorHAnsi" w:eastAsia="Times New Roman" w:hAnsiTheme="minorHAnsi" w:cstheme="minorHAnsi"/>
                <w:b/>
                <w:bCs/>
                <w:color w:val="FFFFFF" w:themeColor="background1"/>
                <w:sz w:val="18"/>
                <w:szCs w:val="18"/>
                <w:lang w:eastAsia="en-AU"/>
              </w:rPr>
              <w:t xml:space="preserve">Total </w:t>
            </w:r>
            <w:r w:rsidR="00BA5658" w:rsidRPr="005E5CB1">
              <w:rPr>
                <w:rFonts w:asciiTheme="minorHAnsi" w:eastAsia="Times New Roman" w:hAnsiTheme="minorHAnsi" w:cstheme="minorHAnsi"/>
                <w:b/>
                <w:bCs/>
                <w:color w:val="FFFFFF" w:themeColor="background1"/>
                <w:sz w:val="18"/>
                <w:szCs w:val="18"/>
                <w:lang w:eastAsia="en-AU"/>
              </w:rPr>
              <w:t xml:space="preserve">absenteeism </w:t>
            </w:r>
            <w:r w:rsidRPr="005E5CB1">
              <w:rPr>
                <w:rFonts w:asciiTheme="minorHAnsi" w:eastAsia="Times New Roman" w:hAnsiTheme="minorHAnsi" w:cstheme="minorHAnsi"/>
                <w:b/>
                <w:bCs/>
                <w:color w:val="FFFFFF" w:themeColor="background1"/>
                <w:sz w:val="18"/>
                <w:szCs w:val="18"/>
                <w:lang w:eastAsia="en-AU"/>
              </w:rPr>
              <w:t xml:space="preserve">+ </w:t>
            </w:r>
            <w:r w:rsidR="00BA5658" w:rsidRPr="005E5CB1">
              <w:rPr>
                <w:rFonts w:asciiTheme="minorHAnsi" w:eastAsia="Times New Roman" w:hAnsiTheme="minorHAnsi" w:cstheme="minorHAnsi"/>
                <w:b/>
                <w:bCs/>
                <w:color w:val="FFFFFF" w:themeColor="background1"/>
                <w:sz w:val="18"/>
                <w:szCs w:val="18"/>
                <w:lang w:eastAsia="en-AU"/>
              </w:rPr>
              <w:t xml:space="preserve">presenteeism </w:t>
            </w:r>
            <w:r w:rsidRPr="005E5CB1">
              <w:rPr>
                <w:rFonts w:asciiTheme="minorHAnsi" w:eastAsia="Times New Roman" w:hAnsiTheme="minorHAnsi" w:cstheme="minorHAnsi"/>
                <w:b/>
                <w:bCs/>
                <w:color w:val="FFFFFF" w:themeColor="background1"/>
                <w:sz w:val="18"/>
                <w:szCs w:val="18"/>
                <w:lang w:eastAsia="en-AU"/>
              </w:rPr>
              <w:t>+ early retirement</w:t>
            </w:r>
          </w:p>
        </w:tc>
        <w:tc>
          <w:tcPr>
            <w:tcW w:w="904" w:type="dxa"/>
            <w:tcBorders>
              <w:left w:val="single" w:sz="8" w:space="0" w:color="FFFFFF" w:themeColor="background1"/>
            </w:tcBorders>
            <w:shd w:val="clear" w:color="auto" w:fill="5B9BD5" w:themeFill="accent1"/>
            <w:hideMark/>
          </w:tcPr>
          <w:p w:rsidR="00884C8D" w:rsidRPr="005E5CB1" w:rsidRDefault="00884C8D" w:rsidP="00396C98">
            <w:pPr>
              <w:spacing w:after="0"/>
              <w:jc w:val="center"/>
              <w:rPr>
                <w:rFonts w:asciiTheme="minorHAnsi" w:eastAsia="Times New Roman" w:hAnsiTheme="minorHAnsi" w:cstheme="minorHAnsi"/>
                <w:b/>
                <w:bCs/>
                <w:color w:val="FFFFFF" w:themeColor="background1"/>
                <w:sz w:val="18"/>
                <w:szCs w:val="18"/>
                <w:lang w:eastAsia="en-AU"/>
              </w:rPr>
            </w:pPr>
            <w:r w:rsidRPr="005E5CB1">
              <w:rPr>
                <w:rFonts w:asciiTheme="minorHAnsi" w:eastAsia="Times New Roman" w:hAnsiTheme="minorHAnsi" w:cstheme="minorHAnsi"/>
                <w:b/>
                <w:bCs/>
                <w:color w:val="FFFFFF" w:themeColor="background1"/>
                <w:sz w:val="18"/>
                <w:szCs w:val="18"/>
                <w:lang w:eastAsia="en-AU"/>
              </w:rPr>
              <w:t>Early retirement due to ill health</w:t>
            </w:r>
          </w:p>
        </w:tc>
        <w:tc>
          <w:tcPr>
            <w:tcW w:w="904" w:type="dxa"/>
            <w:shd w:val="clear" w:color="auto" w:fill="5B9BD5" w:themeFill="accent1"/>
            <w:hideMark/>
          </w:tcPr>
          <w:p w:rsidR="00884C8D" w:rsidRPr="005E5CB1" w:rsidRDefault="00884C8D" w:rsidP="00396C98">
            <w:pPr>
              <w:spacing w:after="0"/>
              <w:jc w:val="center"/>
              <w:rPr>
                <w:rFonts w:asciiTheme="minorHAnsi" w:eastAsia="Times New Roman" w:hAnsiTheme="minorHAnsi" w:cstheme="minorHAnsi"/>
                <w:b/>
                <w:bCs/>
                <w:color w:val="FFFFFF" w:themeColor="background1"/>
                <w:sz w:val="18"/>
                <w:szCs w:val="18"/>
                <w:lang w:eastAsia="en-AU"/>
              </w:rPr>
            </w:pPr>
            <w:r w:rsidRPr="005E5CB1">
              <w:rPr>
                <w:rFonts w:asciiTheme="minorHAnsi" w:eastAsia="Times New Roman" w:hAnsiTheme="minorHAnsi" w:cstheme="minorHAnsi"/>
                <w:b/>
                <w:bCs/>
                <w:color w:val="FFFFFF" w:themeColor="background1"/>
                <w:sz w:val="18"/>
                <w:szCs w:val="18"/>
                <w:lang w:eastAsia="en-AU"/>
              </w:rPr>
              <w:t xml:space="preserve">Absenteeism + </w:t>
            </w:r>
            <w:r w:rsidR="00BA5658" w:rsidRPr="005E5CB1">
              <w:rPr>
                <w:rFonts w:asciiTheme="minorHAnsi" w:eastAsia="Times New Roman" w:hAnsiTheme="minorHAnsi" w:cstheme="minorHAnsi"/>
                <w:b/>
                <w:bCs/>
                <w:color w:val="FFFFFF" w:themeColor="background1"/>
                <w:sz w:val="18"/>
                <w:szCs w:val="18"/>
                <w:lang w:eastAsia="en-AU"/>
              </w:rPr>
              <w:t>presenteeism</w:t>
            </w:r>
          </w:p>
        </w:tc>
        <w:tc>
          <w:tcPr>
            <w:tcW w:w="905" w:type="dxa"/>
            <w:shd w:val="clear" w:color="auto" w:fill="5B9BD5" w:themeFill="accent1"/>
            <w:hideMark/>
          </w:tcPr>
          <w:p w:rsidR="00884C8D" w:rsidRPr="005E5CB1" w:rsidRDefault="00884C8D" w:rsidP="00396C98">
            <w:pPr>
              <w:spacing w:after="0"/>
              <w:jc w:val="center"/>
              <w:rPr>
                <w:rFonts w:asciiTheme="minorHAnsi" w:eastAsia="Times New Roman" w:hAnsiTheme="minorHAnsi" w:cstheme="minorHAnsi"/>
                <w:b/>
                <w:bCs/>
                <w:color w:val="FFFFFF" w:themeColor="background1"/>
                <w:sz w:val="18"/>
                <w:szCs w:val="18"/>
                <w:lang w:eastAsia="en-AU"/>
              </w:rPr>
            </w:pPr>
            <w:r w:rsidRPr="005E5CB1">
              <w:rPr>
                <w:rFonts w:asciiTheme="minorHAnsi" w:eastAsia="Times New Roman" w:hAnsiTheme="minorHAnsi" w:cstheme="minorHAnsi"/>
                <w:b/>
                <w:bCs/>
                <w:color w:val="FFFFFF" w:themeColor="background1"/>
                <w:sz w:val="18"/>
                <w:szCs w:val="18"/>
                <w:lang w:eastAsia="en-AU"/>
              </w:rPr>
              <w:t xml:space="preserve">Total </w:t>
            </w:r>
            <w:r w:rsidR="00BA5658" w:rsidRPr="005E5CB1">
              <w:rPr>
                <w:rFonts w:asciiTheme="minorHAnsi" w:eastAsia="Times New Roman" w:hAnsiTheme="minorHAnsi" w:cstheme="minorHAnsi"/>
                <w:b/>
                <w:bCs/>
                <w:color w:val="FFFFFF" w:themeColor="background1"/>
                <w:sz w:val="18"/>
                <w:szCs w:val="18"/>
                <w:lang w:eastAsia="en-AU"/>
              </w:rPr>
              <w:t xml:space="preserve">absenteeism </w:t>
            </w:r>
            <w:r w:rsidRPr="005E5CB1">
              <w:rPr>
                <w:rFonts w:asciiTheme="minorHAnsi" w:eastAsia="Times New Roman" w:hAnsiTheme="minorHAnsi" w:cstheme="minorHAnsi"/>
                <w:b/>
                <w:bCs/>
                <w:color w:val="FFFFFF" w:themeColor="background1"/>
                <w:sz w:val="18"/>
                <w:szCs w:val="18"/>
                <w:lang w:eastAsia="en-AU"/>
              </w:rPr>
              <w:t xml:space="preserve">+ </w:t>
            </w:r>
            <w:r w:rsidR="00BA5658" w:rsidRPr="005E5CB1">
              <w:rPr>
                <w:rFonts w:asciiTheme="minorHAnsi" w:eastAsia="Times New Roman" w:hAnsiTheme="minorHAnsi" w:cstheme="minorHAnsi"/>
                <w:b/>
                <w:bCs/>
                <w:color w:val="FFFFFF" w:themeColor="background1"/>
                <w:sz w:val="18"/>
                <w:szCs w:val="18"/>
                <w:lang w:eastAsia="en-AU"/>
              </w:rPr>
              <w:t xml:space="preserve">presenteeism </w:t>
            </w:r>
            <w:r w:rsidRPr="005E5CB1">
              <w:rPr>
                <w:rFonts w:asciiTheme="minorHAnsi" w:eastAsia="Times New Roman" w:hAnsiTheme="minorHAnsi" w:cstheme="minorHAnsi"/>
                <w:b/>
                <w:bCs/>
                <w:color w:val="FFFFFF" w:themeColor="background1"/>
                <w:sz w:val="18"/>
                <w:szCs w:val="18"/>
                <w:lang w:eastAsia="en-AU"/>
              </w:rPr>
              <w:t>+ early retirement</w:t>
            </w:r>
          </w:p>
        </w:tc>
      </w:tr>
      <w:tr w:rsidR="00563642" w:rsidRPr="00563642" w:rsidTr="005E5CB1">
        <w:tc>
          <w:tcPr>
            <w:tcW w:w="1114" w:type="dxa"/>
            <w:tcBorders>
              <w:right w:val="single" w:sz="8" w:space="0" w:color="5B9BD5" w:themeColor="accent1"/>
            </w:tcBorders>
            <w:noWrap/>
            <w:hideMark/>
          </w:tcPr>
          <w:p w:rsidR="00C87F32" w:rsidRPr="00396C98" w:rsidRDefault="00C87F32" w:rsidP="00396C98">
            <w:pPr>
              <w:spacing w:after="0"/>
              <w:rPr>
                <w:rFonts w:asciiTheme="minorHAnsi" w:hAnsiTheme="minorHAnsi" w:cstheme="minorHAnsi"/>
                <w:sz w:val="18"/>
                <w:szCs w:val="18"/>
              </w:rPr>
            </w:pPr>
            <w:r w:rsidRPr="00396C98">
              <w:rPr>
                <w:rFonts w:asciiTheme="minorHAnsi" w:hAnsiTheme="minorHAnsi" w:cstheme="minorHAnsi"/>
                <w:sz w:val="18"/>
                <w:szCs w:val="18"/>
              </w:rPr>
              <w:t>Jiangsu</w:t>
            </w:r>
          </w:p>
        </w:tc>
        <w:tc>
          <w:tcPr>
            <w:tcW w:w="1371" w:type="dxa"/>
            <w:tcBorders>
              <w:top w:val="single" w:sz="8" w:space="0" w:color="5B9BD5" w:themeColor="accent1"/>
              <w:left w:val="single" w:sz="8" w:space="0" w:color="5B9BD5" w:themeColor="accent1"/>
              <w:bottom w:val="single" w:sz="8" w:space="0" w:color="5B9BD5" w:themeColor="accent1"/>
            </w:tcBorders>
            <w:hideMark/>
          </w:tcPr>
          <w:p w:rsidR="00C87F32" w:rsidRPr="00396C98" w:rsidRDefault="00C87F32" w:rsidP="00396C98">
            <w:pPr>
              <w:spacing w:after="0"/>
              <w:jc w:val="center"/>
              <w:rPr>
                <w:rFonts w:asciiTheme="minorHAnsi" w:hAnsiTheme="minorHAnsi" w:cstheme="minorHAnsi"/>
                <w:sz w:val="18"/>
                <w:szCs w:val="18"/>
              </w:rPr>
            </w:pPr>
            <w:r w:rsidRPr="00396C98">
              <w:rPr>
                <w:rFonts w:asciiTheme="minorHAnsi" w:hAnsiTheme="minorHAnsi" w:cstheme="minorHAnsi"/>
                <w:sz w:val="18"/>
                <w:szCs w:val="18"/>
              </w:rPr>
              <w:t>2.4%</w:t>
            </w:r>
          </w:p>
        </w:tc>
        <w:tc>
          <w:tcPr>
            <w:tcW w:w="1371" w:type="dxa"/>
            <w:hideMark/>
          </w:tcPr>
          <w:p w:rsidR="00C87F32" w:rsidRPr="00396C98" w:rsidRDefault="00C87F32" w:rsidP="00396C98">
            <w:pPr>
              <w:spacing w:after="0"/>
              <w:jc w:val="center"/>
              <w:rPr>
                <w:rFonts w:asciiTheme="minorHAnsi" w:hAnsiTheme="minorHAnsi" w:cstheme="minorHAnsi"/>
                <w:sz w:val="18"/>
                <w:szCs w:val="18"/>
              </w:rPr>
            </w:pPr>
            <w:r w:rsidRPr="00396C98">
              <w:rPr>
                <w:rFonts w:asciiTheme="minorHAnsi" w:hAnsiTheme="minorHAnsi" w:cstheme="minorHAnsi"/>
                <w:sz w:val="18"/>
                <w:szCs w:val="18"/>
              </w:rPr>
              <w:t>2.9%</w:t>
            </w:r>
          </w:p>
        </w:tc>
        <w:tc>
          <w:tcPr>
            <w:tcW w:w="1372" w:type="dxa"/>
            <w:tcBorders>
              <w:right w:val="single" w:sz="8" w:space="0" w:color="5B9BD5" w:themeColor="accent1"/>
            </w:tcBorders>
            <w:hideMark/>
          </w:tcPr>
          <w:p w:rsidR="00C87F32" w:rsidRPr="00396C98" w:rsidRDefault="00C87F32" w:rsidP="00396C98">
            <w:pPr>
              <w:spacing w:after="0"/>
              <w:jc w:val="center"/>
              <w:rPr>
                <w:rFonts w:asciiTheme="minorHAnsi" w:hAnsiTheme="minorHAnsi" w:cstheme="minorHAnsi"/>
                <w:sz w:val="18"/>
                <w:szCs w:val="18"/>
              </w:rPr>
            </w:pPr>
            <w:r w:rsidRPr="00396C98">
              <w:rPr>
                <w:rFonts w:asciiTheme="minorHAnsi" w:hAnsiTheme="minorHAnsi" w:cstheme="minorHAnsi"/>
                <w:sz w:val="18"/>
                <w:szCs w:val="18"/>
              </w:rPr>
              <w:t>5.3%</w:t>
            </w:r>
          </w:p>
        </w:tc>
        <w:tc>
          <w:tcPr>
            <w:tcW w:w="1371" w:type="dxa"/>
            <w:tcBorders>
              <w:top w:val="single" w:sz="8" w:space="0" w:color="5B9BD5" w:themeColor="accent1"/>
              <w:left w:val="single" w:sz="8" w:space="0" w:color="5B9BD5" w:themeColor="accent1"/>
              <w:bottom w:val="single" w:sz="8" w:space="0" w:color="5B9BD5" w:themeColor="accent1"/>
            </w:tcBorders>
            <w:hideMark/>
          </w:tcPr>
          <w:p w:rsidR="00C87F32" w:rsidRPr="00396C98" w:rsidRDefault="00C87F32" w:rsidP="00396C98">
            <w:pPr>
              <w:spacing w:after="0"/>
              <w:jc w:val="center"/>
              <w:rPr>
                <w:rFonts w:asciiTheme="minorHAnsi" w:hAnsiTheme="minorHAnsi" w:cstheme="minorHAnsi"/>
                <w:sz w:val="18"/>
                <w:szCs w:val="18"/>
              </w:rPr>
            </w:pPr>
            <w:r w:rsidRPr="00396C98">
              <w:rPr>
                <w:rFonts w:asciiTheme="minorHAnsi" w:hAnsiTheme="minorHAnsi" w:cstheme="minorHAnsi"/>
                <w:sz w:val="18"/>
                <w:szCs w:val="18"/>
              </w:rPr>
              <w:t>3.1%</w:t>
            </w:r>
          </w:p>
        </w:tc>
        <w:tc>
          <w:tcPr>
            <w:tcW w:w="1371" w:type="dxa"/>
            <w:hideMark/>
          </w:tcPr>
          <w:p w:rsidR="00C87F32" w:rsidRPr="00396C98" w:rsidRDefault="00C87F32" w:rsidP="00396C98">
            <w:pPr>
              <w:spacing w:after="0"/>
              <w:jc w:val="center"/>
              <w:rPr>
                <w:rFonts w:asciiTheme="minorHAnsi" w:hAnsiTheme="minorHAnsi" w:cstheme="minorHAnsi"/>
                <w:sz w:val="18"/>
                <w:szCs w:val="18"/>
              </w:rPr>
            </w:pPr>
            <w:r w:rsidRPr="00396C98">
              <w:rPr>
                <w:rFonts w:asciiTheme="minorHAnsi" w:hAnsiTheme="minorHAnsi" w:cstheme="minorHAnsi"/>
                <w:sz w:val="18"/>
                <w:szCs w:val="18"/>
              </w:rPr>
              <w:t>3.2%</w:t>
            </w:r>
          </w:p>
        </w:tc>
        <w:tc>
          <w:tcPr>
            <w:tcW w:w="1372" w:type="dxa"/>
            <w:hideMark/>
          </w:tcPr>
          <w:p w:rsidR="00C87F32" w:rsidRPr="00396C98" w:rsidRDefault="00C87F32" w:rsidP="00396C98">
            <w:pPr>
              <w:spacing w:after="0"/>
              <w:jc w:val="center"/>
              <w:rPr>
                <w:rFonts w:asciiTheme="minorHAnsi" w:hAnsiTheme="minorHAnsi" w:cstheme="minorHAnsi"/>
                <w:sz w:val="18"/>
                <w:szCs w:val="18"/>
              </w:rPr>
            </w:pPr>
            <w:r w:rsidRPr="00396C98">
              <w:rPr>
                <w:rFonts w:asciiTheme="minorHAnsi" w:hAnsiTheme="minorHAnsi" w:cstheme="minorHAnsi"/>
                <w:sz w:val="18"/>
                <w:szCs w:val="18"/>
              </w:rPr>
              <w:t>6.3%</w:t>
            </w:r>
          </w:p>
        </w:tc>
      </w:tr>
      <w:tr w:rsidR="00BA5658" w:rsidRPr="00563642" w:rsidTr="005E5CB1">
        <w:trPr>
          <w:cnfStyle w:val="000000100000" w:firstRow="0" w:lastRow="0" w:firstColumn="0" w:lastColumn="0" w:oddVBand="0" w:evenVBand="0" w:oddHBand="1" w:evenHBand="0" w:firstRowFirstColumn="0" w:firstRowLastColumn="0" w:lastRowFirstColumn="0" w:lastRowLastColumn="0"/>
        </w:trPr>
        <w:tc>
          <w:tcPr>
            <w:tcW w:w="1114" w:type="dxa"/>
            <w:tcBorders>
              <w:right w:val="single" w:sz="8" w:space="0" w:color="5B9BD5" w:themeColor="accent1"/>
            </w:tcBorders>
            <w:noWrap/>
            <w:hideMark/>
          </w:tcPr>
          <w:p w:rsidR="00C87F32" w:rsidRPr="00396C98" w:rsidRDefault="00C87F32" w:rsidP="00396C98">
            <w:pPr>
              <w:spacing w:after="0"/>
              <w:rPr>
                <w:rFonts w:asciiTheme="minorHAnsi" w:hAnsiTheme="minorHAnsi" w:cstheme="minorHAnsi"/>
                <w:sz w:val="18"/>
                <w:szCs w:val="18"/>
              </w:rPr>
            </w:pPr>
            <w:r w:rsidRPr="00396C98">
              <w:rPr>
                <w:rFonts w:asciiTheme="minorHAnsi" w:hAnsiTheme="minorHAnsi" w:cstheme="minorHAnsi"/>
                <w:sz w:val="18"/>
                <w:szCs w:val="18"/>
              </w:rPr>
              <w:t>China</w:t>
            </w:r>
          </w:p>
        </w:tc>
        <w:tc>
          <w:tcPr>
            <w:tcW w:w="1371" w:type="dxa"/>
            <w:tcBorders>
              <w:left w:val="single" w:sz="8" w:space="0" w:color="5B9BD5" w:themeColor="accent1"/>
            </w:tcBorders>
            <w:hideMark/>
          </w:tcPr>
          <w:p w:rsidR="00C87F32" w:rsidRPr="00396C98" w:rsidRDefault="00C87F32" w:rsidP="00396C98">
            <w:pPr>
              <w:spacing w:after="0"/>
              <w:jc w:val="center"/>
              <w:rPr>
                <w:rFonts w:asciiTheme="minorHAnsi" w:hAnsiTheme="minorHAnsi" w:cstheme="minorHAnsi"/>
                <w:sz w:val="18"/>
                <w:szCs w:val="18"/>
              </w:rPr>
            </w:pPr>
            <w:r w:rsidRPr="00396C98">
              <w:rPr>
                <w:rFonts w:asciiTheme="minorHAnsi" w:hAnsiTheme="minorHAnsi" w:cstheme="minorHAnsi"/>
                <w:sz w:val="18"/>
                <w:szCs w:val="18"/>
              </w:rPr>
              <w:t>2.1%</w:t>
            </w:r>
          </w:p>
        </w:tc>
        <w:tc>
          <w:tcPr>
            <w:tcW w:w="1371" w:type="dxa"/>
            <w:hideMark/>
          </w:tcPr>
          <w:p w:rsidR="00C87F32" w:rsidRPr="00396C98" w:rsidRDefault="00C87F32" w:rsidP="00396C98">
            <w:pPr>
              <w:spacing w:after="0"/>
              <w:jc w:val="center"/>
              <w:rPr>
                <w:rFonts w:asciiTheme="minorHAnsi" w:hAnsiTheme="minorHAnsi" w:cstheme="minorHAnsi"/>
                <w:sz w:val="18"/>
                <w:szCs w:val="18"/>
              </w:rPr>
            </w:pPr>
            <w:r w:rsidRPr="00396C98">
              <w:rPr>
                <w:rFonts w:asciiTheme="minorHAnsi" w:hAnsiTheme="minorHAnsi" w:cstheme="minorHAnsi"/>
                <w:sz w:val="18"/>
                <w:szCs w:val="18"/>
              </w:rPr>
              <w:t>3.</w:t>
            </w:r>
            <w:r w:rsidR="007E33DA" w:rsidRPr="00396C98">
              <w:rPr>
                <w:rFonts w:asciiTheme="minorHAnsi" w:hAnsiTheme="minorHAnsi" w:cstheme="minorHAnsi"/>
                <w:sz w:val="18"/>
                <w:szCs w:val="18"/>
              </w:rPr>
              <w:t>3</w:t>
            </w:r>
            <w:r w:rsidRPr="00396C98">
              <w:rPr>
                <w:rFonts w:asciiTheme="minorHAnsi" w:hAnsiTheme="minorHAnsi" w:cstheme="minorHAnsi"/>
                <w:sz w:val="18"/>
                <w:szCs w:val="18"/>
              </w:rPr>
              <w:t>%</w:t>
            </w:r>
          </w:p>
        </w:tc>
        <w:tc>
          <w:tcPr>
            <w:tcW w:w="1372" w:type="dxa"/>
            <w:tcBorders>
              <w:right w:val="single" w:sz="8" w:space="0" w:color="5B9BD5" w:themeColor="accent1"/>
            </w:tcBorders>
            <w:hideMark/>
          </w:tcPr>
          <w:p w:rsidR="00C87F32" w:rsidRPr="00396C98" w:rsidRDefault="00C87F32" w:rsidP="00396C98">
            <w:pPr>
              <w:spacing w:after="0"/>
              <w:jc w:val="center"/>
              <w:rPr>
                <w:rFonts w:asciiTheme="minorHAnsi" w:hAnsiTheme="minorHAnsi" w:cstheme="minorHAnsi"/>
                <w:sz w:val="18"/>
                <w:szCs w:val="18"/>
              </w:rPr>
            </w:pPr>
            <w:r w:rsidRPr="00396C98">
              <w:rPr>
                <w:rFonts w:asciiTheme="minorHAnsi" w:hAnsiTheme="minorHAnsi" w:cstheme="minorHAnsi"/>
                <w:sz w:val="18"/>
                <w:szCs w:val="18"/>
              </w:rPr>
              <w:t>5.</w:t>
            </w:r>
            <w:r w:rsidR="007E33DA" w:rsidRPr="00396C98">
              <w:rPr>
                <w:rFonts w:asciiTheme="minorHAnsi" w:hAnsiTheme="minorHAnsi" w:cstheme="minorHAnsi"/>
                <w:sz w:val="18"/>
                <w:szCs w:val="18"/>
              </w:rPr>
              <w:t>4</w:t>
            </w:r>
            <w:r w:rsidRPr="00396C98">
              <w:rPr>
                <w:rFonts w:asciiTheme="minorHAnsi" w:hAnsiTheme="minorHAnsi" w:cstheme="minorHAnsi"/>
                <w:sz w:val="18"/>
                <w:szCs w:val="18"/>
              </w:rPr>
              <w:t>%</w:t>
            </w:r>
          </w:p>
        </w:tc>
        <w:tc>
          <w:tcPr>
            <w:tcW w:w="1371" w:type="dxa"/>
            <w:tcBorders>
              <w:left w:val="single" w:sz="8" w:space="0" w:color="5B9BD5" w:themeColor="accent1"/>
            </w:tcBorders>
            <w:hideMark/>
          </w:tcPr>
          <w:p w:rsidR="00C87F32" w:rsidRPr="00396C98" w:rsidRDefault="00C87F32" w:rsidP="00396C98">
            <w:pPr>
              <w:spacing w:after="0"/>
              <w:jc w:val="center"/>
              <w:rPr>
                <w:rFonts w:asciiTheme="minorHAnsi" w:hAnsiTheme="minorHAnsi" w:cstheme="minorHAnsi"/>
                <w:sz w:val="18"/>
                <w:szCs w:val="18"/>
              </w:rPr>
            </w:pPr>
            <w:r w:rsidRPr="00396C98">
              <w:rPr>
                <w:rFonts w:asciiTheme="minorHAnsi" w:hAnsiTheme="minorHAnsi" w:cstheme="minorHAnsi"/>
                <w:sz w:val="18"/>
                <w:szCs w:val="18"/>
              </w:rPr>
              <w:t>2.8%</w:t>
            </w:r>
          </w:p>
        </w:tc>
        <w:tc>
          <w:tcPr>
            <w:tcW w:w="1371" w:type="dxa"/>
            <w:hideMark/>
          </w:tcPr>
          <w:p w:rsidR="00C87F32" w:rsidRPr="00396C98" w:rsidRDefault="00C87F32" w:rsidP="00396C98">
            <w:pPr>
              <w:spacing w:after="0"/>
              <w:jc w:val="center"/>
              <w:rPr>
                <w:rFonts w:asciiTheme="minorHAnsi" w:hAnsiTheme="minorHAnsi" w:cstheme="minorHAnsi"/>
                <w:sz w:val="18"/>
                <w:szCs w:val="18"/>
              </w:rPr>
            </w:pPr>
            <w:r w:rsidRPr="00396C98">
              <w:rPr>
                <w:rFonts w:asciiTheme="minorHAnsi" w:hAnsiTheme="minorHAnsi" w:cstheme="minorHAnsi"/>
                <w:sz w:val="18"/>
                <w:szCs w:val="18"/>
              </w:rPr>
              <w:t>3.7%</w:t>
            </w:r>
          </w:p>
        </w:tc>
        <w:tc>
          <w:tcPr>
            <w:tcW w:w="1372" w:type="dxa"/>
            <w:hideMark/>
          </w:tcPr>
          <w:p w:rsidR="00C87F32" w:rsidRPr="00396C98" w:rsidRDefault="00C87F32" w:rsidP="00396C98">
            <w:pPr>
              <w:spacing w:after="0"/>
              <w:jc w:val="center"/>
              <w:rPr>
                <w:rFonts w:asciiTheme="minorHAnsi" w:hAnsiTheme="minorHAnsi" w:cstheme="minorHAnsi"/>
                <w:sz w:val="18"/>
                <w:szCs w:val="18"/>
              </w:rPr>
            </w:pPr>
            <w:r w:rsidRPr="00396C98">
              <w:rPr>
                <w:rFonts w:asciiTheme="minorHAnsi" w:hAnsiTheme="minorHAnsi" w:cstheme="minorHAnsi"/>
                <w:sz w:val="18"/>
                <w:szCs w:val="18"/>
              </w:rPr>
              <w:t>6.5%</w:t>
            </w:r>
          </w:p>
        </w:tc>
      </w:tr>
      <w:tr w:rsidR="00BA5658" w:rsidRPr="00563642" w:rsidTr="005E5CB1">
        <w:tc>
          <w:tcPr>
            <w:tcW w:w="1114" w:type="dxa"/>
            <w:tcBorders>
              <w:right w:val="single" w:sz="8" w:space="0" w:color="5B9BD5" w:themeColor="accent1"/>
            </w:tcBorders>
            <w:noWrap/>
            <w:hideMark/>
          </w:tcPr>
          <w:p w:rsidR="00C87F32" w:rsidRPr="00396C98" w:rsidRDefault="00C87F32" w:rsidP="00396C98">
            <w:pPr>
              <w:spacing w:after="0"/>
              <w:rPr>
                <w:rFonts w:asciiTheme="minorHAnsi" w:hAnsiTheme="minorHAnsi" w:cstheme="minorHAnsi"/>
                <w:sz w:val="18"/>
                <w:szCs w:val="18"/>
              </w:rPr>
            </w:pPr>
            <w:r w:rsidRPr="00396C98">
              <w:rPr>
                <w:rFonts w:asciiTheme="minorHAnsi" w:hAnsiTheme="minorHAnsi" w:cstheme="minorHAnsi"/>
                <w:sz w:val="18"/>
                <w:szCs w:val="18"/>
              </w:rPr>
              <w:t>Brazil</w:t>
            </w:r>
          </w:p>
        </w:tc>
        <w:tc>
          <w:tcPr>
            <w:tcW w:w="1371" w:type="dxa"/>
            <w:tcBorders>
              <w:top w:val="single" w:sz="8" w:space="0" w:color="5B9BD5" w:themeColor="accent1"/>
              <w:left w:val="single" w:sz="8" w:space="0" w:color="5B9BD5" w:themeColor="accent1"/>
              <w:bottom w:val="single" w:sz="8" w:space="0" w:color="5B9BD5" w:themeColor="accent1"/>
            </w:tcBorders>
            <w:hideMark/>
          </w:tcPr>
          <w:p w:rsidR="00C87F32" w:rsidRPr="00396C98" w:rsidRDefault="00C87F32" w:rsidP="00396C98">
            <w:pPr>
              <w:spacing w:after="0"/>
              <w:jc w:val="center"/>
              <w:rPr>
                <w:rFonts w:asciiTheme="minorHAnsi" w:hAnsiTheme="minorHAnsi" w:cstheme="minorHAnsi"/>
                <w:sz w:val="18"/>
                <w:szCs w:val="18"/>
              </w:rPr>
            </w:pPr>
            <w:r w:rsidRPr="00396C98">
              <w:rPr>
                <w:rFonts w:asciiTheme="minorHAnsi" w:hAnsiTheme="minorHAnsi" w:cstheme="minorHAnsi"/>
                <w:sz w:val="18"/>
                <w:szCs w:val="18"/>
              </w:rPr>
              <w:t>2.2%</w:t>
            </w:r>
          </w:p>
        </w:tc>
        <w:tc>
          <w:tcPr>
            <w:tcW w:w="1371" w:type="dxa"/>
            <w:hideMark/>
          </w:tcPr>
          <w:p w:rsidR="00C87F32" w:rsidRPr="00396C98" w:rsidRDefault="00C87F32" w:rsidP="00396C98">
            <w:pPr>
              <w:spacing w:after="0"/>
              <w:jc w:val="center"/>
              <w:rPr>
                <w:rFonts w:asciiTheme="minorHAnsi" w:hAnsiTheme="minorHAnsi" w:cstheme="minorHAnsi"/>
                <w:sz w:val="18"/>
                <w:szCs w:val="18"/>
              </w:rPr>
            </w:pPr>
            <w:r w:rsidRPr="00396C98">
              <w:rPr>
                <w:rFonts w:asciiTheme="minorHAnsi" w:hAnsiTheme="minorHAnsi" w:cstheme="minorHAnsi"/>
                <w:sz w:val="18"/>
                <w:szCs w:val="18"/>
              </w:rPr>
              <w:t>5.1%</w:t>
            </w:r>
          </w:p>
        </w:tc>
        <w:tc>
          <w:tcPr>
            <w:tcW w:w="1372" w:type="dxa"/>
            <w:tcBorders>
              <w:right w:val="single" w:sz="8" w:space="0" w:color="5B9BD5" w:themeColor="accent1"/>
            </w:tcBorders>
            <w:hideMark/>
          </w:tcPr>
          <w:p w:rsidR="00C87F32" w:rsidRPr="00396C98" w:rsidRDefault="00C87F32" w:rsidP="00396C98">
            <w:pPr>
              <w:spacing w:after="0"/>
              <w:jc w:val="center"/>
              <w:rPr>
                <w:rFonts w:asciiTheme="minorHAnsi" w:hAnsiTheme="minorHAnsi" w:cstheme="minorHAnsi"/>
                <w:sz w:val="18"/>
                <w:szCs w:val="18"/>
              </w:rPr>
            </w:pPr>
            <w:r w:rsidRPr="00396C98">
              <w:rPr>
                <w:rFonts w:asciiTheme="minorHAnsi" w:hAnsiTheme="minorHAnsi" w:cstheme="minorHAnsi"/>
                <w:sz w:val="18"/>
                <w:szCs w:val="18"/>
              </w:rPr>
              <w:t>7.3%</w:t>
            </w:r>
          </w:p>
        </w:tc>
        <w:tc>
          <w:tcPr>
            <w:tcW w:w="1371" w:type="dxa"/>
            <w:tcBorders>
              <w:top w:val="single" w:sz="8" w:space="0" w:color="5B9BD5" w:themeColor="accent1"/>
              <w:left w:val="single" w:sz="8" w:space="0" w:color="5B9BD5" w:themeColor="accent1"/>
              <w:bottom w:val="single" w:sz="8" w:space="0" w:color="5B9BD5" w:themeColor="accent1"/>
            </w:tcBorders>
            <w:hideMark/>
          </w:tcPr>
          <w:p w:rsidR="00C87F32" w:rsidRPr="00396C98" w:rsidRDefault="00C87F32" w:rsidP="00396C98">
            <w:pPr>
              <w:spacing w:after="0"/>
              <w:jc w:val="center"/>
              <w:rPr>
                <w:rFonts w:asciiTheme="minorHAnsi" w:hAnsiTheme="minorHAnsi" w:cstheme="minorHAnsi"/>
                <w:sz w:val="18"/>
                <w:szCs w:val="18"/>
              </w:rPr>
            </w:pPr>
            <w:r w:rsidRPr="00396C98">
              <w:rPr>
                <w:rFonts w:asciiTheme="minorHAnsi" w:hAnsiTheme="minorHAnsi" w:cstheme="minorHAnsi"/>
                <w:sz w:val="18"/>
                <w:szCs w:val="18"/>
              </w:rPr>
              <w:t>3.0%</w:t>
            </w:r>
          </w:p>
        </w:tc>
        <w:tc>
          <w:tcPr>
            <w:tcW w:w="1371" w:type="dxa"/>
            <w:hideMark/>
          </w:tcPr>
          <w:p w:rsidR="00C87F32" w:rsidRPr="00396C98" w:rsidRDefault="00C87F32" w:rsidP="00396C98">
            <w:pPr>
              <w:spacing w:after="0"/>
              <w:jc w:val="center"/>
              <w:rPr>
                <w:rFonts w:asciiTheme="minorHAnsi" w:hAnsiTheme="minorHAnsi" w:cstheme="minorHAnsi"/>
                <w:sz w:val="18"/>
                <w:szCs w:val="18"/>
              </w:rPr>
            </w:pPr>
            <w:r w:rsidRPr="00396C98">
              <w:rPr>
                <w:rFonts w:asciiTheme="minorHAnsi" w:hAnsiTheme="minorHAnsi" w:cstheme="minorHAnsi"/>
                <w:sz w:val="18"/>
                <w:szCs w:val="18"/>
              </w:rPr>
              <w:t>4.5%</w:t>
            </w:r>
          </w:p>
        </w:tc>
        <w:tc>
          <w:tcPr>
            <w:tcW w:w="1372" w:type="dxa"/>
            <w:hideMark/>
          </w:tcPr>
          <w:p w:rsidR="00C87F32" w:rsidRPr="00396C98" w:rsidRDefault="00C87F32" w:rsidP="00396C98">
            <w:pPr>
              <w:spacing w:after="0"/>
              <w:jc w:val="center"/>
              <w:rPr>
                <w:rFonts w:asciiTheme="minorHAnsi" w:hAnsiTheme="minorHAnsi" w:cstheme="minorHAnsi"/>
                <w:sz w:val="18"/>
                <w:szCs w:val="18"/>
              </w:rPr>
            </w:pPr>
            <w:r w:rsidRPr="00396C98">
              <w:rPr>
                <w:rFonts w:asciiTheme="minorHAnsi" w:hAnsiTheme="minorHAnsi" w:cstheme="minorHAnsi"/>
                <w:sz w:val="18"/>
                <w:szCs w:val="18"/>
              </w:rPr>
              <w:t>7.5%</w:t>
            </w:r>
          </w:p>
        </w:tc>
      </w:tr>
      <w:tr w:rsidR="00BA5658" w:rsidRPr="00563642" w:rsidTr="005E5CB1">
        <w:trPr>
          <w:cnfStyle w:val="000000100000" w:firstRow="0" w:lastRow="0" w:firstColumn="0" w:lastColumn="0" w:oddVBand="0" w:evenVBand="0" w:oddHBand="1" w:evenHBand="0" w:firstRowFirstColumn="0" w:firstRowLastColumn="0" w:lastRowFirstColumn="0" w:lastRowLastColumn="0"/>
        </w:trPr>
        <w:tc>
          <w:tcPr>
            <w:tcW w:w="1114" w:type="dxa"/>
            <w:tcBorders>
              <w:right w:val="single" w:sz="8" w:space="0" w:color="5B9BD5" w:themeColor="accent1"/>
            </w:tcBorders>
            <w:noWrap/>
            <w:hideMark/>
          </w:tcPr>
          <w:p w:rsidR="00C87F32" w:rsidRPr="00396C98" w:rsidRDefault="00C87F32" w:rsidP="00396C98">
            <w:pPr>
              <w:spacing w:after="0"/>
              <w:rPr>
                <w:rFonts w:asciiTheme="minorHAnsi" w:hAnsiTheme="minorHAnsi" w:cstheme="minorHAnsi"/>
                <w:sz w:val="18"/>
                <w:szCs w:val="18"/>
              </w:rPr>
            </w:pPr>
            <w:r w:rsidRPr="00396C98">
              <w:rPr>
                <w:rFonts w:asciiTheme="minorHAnsi" w:hAnsiTheme="minorHAnsi" w:cstheme="minorHAnsi"/>
                <w:sz w:val="18"/>
                <w:szCs w:val="18"/>
              </w:rPr>
              <w:t>India</w:t>
            </w:r>
          </w:p>
        </w:tc>
        <w:tc>
          <w:tcPr>
            <w:tcW w:w="1371" w:type="dxa"/>
            <w:tcBorders>
              <w:left w:val="single" w:sz="8" w:space="0" w:color="5B9BD5" w:themeColor="accent1"/>
            </w:tcBorders>
            <w:hideMark/>
          </w:tcPr>
          <w:p w:rsidR="00C87F32" w:rsidRPr="00396C98" w:rsidRDefault="00C87F32" w:rsidP="00396C98">
            <w:pPr>
              <w:spacing w:after="0"/>
              <w:jc w:val="center"/>
              <w:rPr>
                <w:rFonts w:asciiTheme="minorHAnsi" w:hAnsiTheme="minorHAnsi" w:cstheme="minorHAnsi"/>
                <w:sz w:val="18"/>
                <w:szCs w:val="18"/>
              </w:rPr>
            </w:pPr>
            <w:r w:rsidRPr="00396C98">
              <w:rPr>
                <w:rFonts w:asciiTheme="minorHAnsi" w:hAnsiTheme="minorHAnsi" w:cstheme="minorHAnsi"/>
                <w:sz w:val="18"/>
                <w:szCs w:val="18"/>
              </w:rPr>
              <w:t>2.5%</w:t>
            </w:r>
          </w:p>
        </w:tc>
        <w:tc>
          <w:tcPr>
            <w:tcW w:w="1371" w:type="dxa"/>
            <w:hideMark/>
          </w:tcPr>
          <w:p w:rsidR="00C87F32" w:rsidRPr="00396C98" w:rsidRDefault="00C87F32" w:rsidP="00396C98">
            <w:pPr>
              <w:spacing w:after="0"/>
              <w:jc w:val="center"/>
              <w:rPr>
                <w:rFonts w:asciiTheme="minorHAnsi" w:hAnsiTheme="minorHAnsi" w:cstheme="minorHAnsi"/>
                <w:sz w:val="18"/>
                <w:szCs w:val="18"/>
              </w:rPr>
            </w:pPr>
            <w:r w:rsidRPr="00396C98">
              <w:rPr>
                <w:rFonts w:asciiTheme="minorHAnsi" w:hAnsiTheme="minorHAnsi" w:cstheme="minorHAnsi"/>
                <w:sz w:val="18"/>
                <w:szCs w:val="18"/>
              </w:rPr>
              <w:t>4.6%</w:t>
            </w:r>
          </w:p>
        </w:tc>
        <w:tc>
          <w:tcPr>
            <w:tcW w:w="1372" w:type="dxa"/>
            <w:tcBorders>
              <w:right w:val="single" w:sz="8" w:space="0" w:color="5B9BD5" w:themeColor="accent1"/>
            </w:tcBorders>
            <w:hideMark/>
          </w:tcPr>
          <w:p w:rsidR="00C87F32" w:rsidRPr="00396C98" w:rsidRDefault="00C87F32" w:rsidP="00396C98">
            <w:pPr>
              <w:spacing w:after="0"/>
              <w:jc w:val="center"/>
              <w:rPr>
                <w:rFonts w:asciiTheme="minorHAnsi" w:hAnsiTheme="minorHAnsi" w:cstheme="minorHAnsi"/>
                <w:sz w:val="18"/>
                <w:szCs w:val="18"/>
              </w:rPr>
            </w:pPr>
            <w:r w:rsidRPr="00396C98">
              <w:rPr>
                <w:rFonts w:asciiTheme="minorHAnsi" w:hAnsiTheme="minorHAnsi" w:cstheme="minorHAnsi"/>
                <w:sz w:val="18"/>
                <w:szCs w:val="18"/>
              </w:rPr>
              <w:t>7.1%</w:t>
            </w:r>
          </w:p>
        </w:tc>
        <w:tc>
          <w:tcPr>
            <w:tcW w:w="1371" w:type="dxa"/>
            <w:tcBorders>
              <w:left w:val="single" w:sz="8" w:space="0" w:color="5B9BD5" w:themeColor="accent1"/>
            </w:tcBorders>
            <w:hideMark/>
          </w:tcPr>
          <w:p w:rsidR="00C87F32" w:rsidRPr="00396C98" w:rsidRDefault="00C87F32" w:rsidP="00396C98">
            <w:pPr>
              <w:spacing w:after="0"/>
              <w:jc w:val="center"/>
              <w:rPr>
                <w:rFonts w:asciiTheme="minorHAnsi" w:hAnsiTheme="minorHAnsi" w:cstheme="minorHAnsi"/>
                <w:sz w:val="18"/>
                <w:szCs w:val="18"/>
              </w:rPr>
            </w:pPr>
            <w:r w:rsidRPr="00396C98">
              <w:rPr>
                <w:rFonts w:asciiTheme="minorHAnsi" w:hAnsiTheme="minorHAnsi" w:cstheme="minorHAnsi"/>
                <w:sz w:val="18"/>
                <w:szCs w:val="18"/>
              </w:rPr>
              <w:t>2.9%</w:t>
            </w:r>
          </w:p>
        </w:tc>
        <w:tc>
          <w:tcPr>
            <w:tcW w:w="1371" w:type="dxa"/>
            <w:hideMark/>
          </w:tcPr>
          <w:p w:rsidR="00C87F32" w:rsidRPr="00396C98" w:rsidRDefault="00C87F32" w:rsidP="00396C98">
            <w:pPr>
              <w:spacing w:after="0"/>
              <w:jc w:val="center"/>
              <w:rPr>
                <w:rFonts w:asciiTheme="minorHAnsi" w:hAnsiTheme="minorHAnsi" w:cstheme="minorHAnsi"/>
                <w:sz w:val="18"/>
                <w:szCs w:val="18"/>
              </w:rPr>
            </w:pPr>
            <w:r w:rsidRPr="00396C98">
              <w:rPr>
                <w:rFonts w:asciiTheme="minorHAnsi" w:hAnsiTheme="minorHAnsi" w:cstheme="minorHAnsi"/>
                <w:sz w:val="18"/>
                <w:szCs w:val="18"/>
              </w:rPr>
              <w:t>4.8%</w:t>
            </w:r>
          </w:p>
        </w:tc>
        <w:tc>
          <w:tcPr>
            <w:tcW w:w="1372" w:type="dxa"/>
            <w:hideMark/>
          </w:tcPr>
          <w:p w:rsidR="00C87F32" w:rsidRPr="00396C98" w:rsidRDefault="00C87F32" w:rsidP="00396C98">
            <w:pPr>
              <w:spacing w:after="0"/>
              <w:jc w:val="center"/>
              <w:rPr>
                <w:rFonts w:asciiTheme="minorHAnsi" w:hAnsiTheme="minorHAnsi" w:cstheme="minorHAnsi"/>
                <w:sz w:val="18"/>
                <w:szCs w:val="18"/>
              </w:rPr>
            </w:pPr>
            <w:r w:rsidRPr="00396C98">
              <w:rPr>
                <w:rFonts w:asciiTheme="minorHAnsi" w:hAnsiTheme="minorHAnsi" w:cstheme="minorHAnsi"/>
                <w:sz w:val="18"/>
                <w:szCs w:val="18"/>
              </w:rPr>
              <w:t>7.7%</w:t>
            </w:r>
          </w:p>
        </w:tc>
      </w:tr>
      <w:tr w:rsidR="00BA5658" w:rsidRPr="00563642" w:rsidTr="005E5CB1">
        <w:tc>
          <w:tcPr>
            <w:tcW w:w="1114" w:type="dxa"/>
            <w:tcBorders>
              <w:right w:val="single" w:sz="8" w:space="0" w:color="5B9BD5" w:themeColor="accent1"/>
            </w:tcBorders>
            <w:noWrap/>
            <w:hideMark/>
          </w:tcPr>
          <w:p w:rsidR="00C87F32" w:rsidRPr="00396C98" w:rsidRDefault="00C87F32" w:rsidP="00396C98">
            <w:pPr>
              <w:spacing w:after="0"/>
              <w:rPr>
                <w:rFonts w:asciiTheme="minorHAnsi" w:hAnsiTheme="minorHAnsi" w:cstheme="minorHAnsi"/>
                <w:sz w:val="18"/>
                <w:szCs w:val="18"/>
              </w:rPr>
            </w:pPr>
            <w:r w:rsidRPr="00396C98">
              <w:rPr>
                <w:rFonts w:asciiTheme="minorHAnsi" w:hAnsiTheme="minorHAnsi" w:cstheme="minorHAnsi"/>
                <w:sz w:val="18"/>
                <w:szCs w:val="18"/>
              </w:rPr>
              <w:t>Indonesia</w:t>
            </w:r>
          </w:p>
        </w:tc>
        <w:tc>
          <w:tcPr>
            <w:tcW w:w="1371" w:type="dxa"/>
            <w:tcBorders>
              <w:top w:val="single" w:sz="8" w:space="0" w:color="5B9BD5" w:themeColor="accent1"/>
              <w:left w:val="single" w:sz="8" w:space="0" w:color="5B9BD5" w:themeColor="accent1"/>
              <w:bottom w:val="single" w:sz="8" w:space="0" w:color="5B9BD5" w:themeColor="accent1"/>
            </w:tcBorders>
            <w:hideMark/>
          </w:tcPr>
          <w:p w:rsidR="00C87F32" w:rsidRPr="00396C98" w:rsidRDefault="00C87F32" w:rsidP="00396C98">
            <w:pPr>
              <w:spacing w:after="0"/>
              <w:jc w:val="center"/>
              <w:rPr>
                <w:rFonts w:asciiTheme="minorHAnsi" w:hAnsiTheme="minorHAnsi" w:cstheme="minorHAnsi"/>
                <w:sz w:val="18"/>
                <w:szCs w:val="18"/>
              </w:rPr>
            </w:pPr>
            <w:r w:rsidRPr="00396C98">
              <w:rPr>
                <w:rFonts w:asciiTheme="minorHAnsi" w:hAnsiTheme="minorHAnsi" w:cstheme="minorHAnsi"/>
                <w:sz w:val="18"/>
                <w:szCs w:val="18"/>
              </w:rPr>
              <w:t>1.9%</w:t>
            </w:r>
          </w:p>
        </w:tc>
        <w:tc>
          <w:tcPr>
            <w:tcW w:w="1371" w:type="dxa"/>
            <w:hideMark/>
          </w:tcPr>
          <w:p w:rsidR="00C87F32" w:rsidRPr="00396C98" w:rsidRDefault="00C87F32" w:rsidP="00396C98">
            <w:pPr>
              <w:spacing w:after="0"/>
              <w:jc w:val="center"/>
              <w:rPr>
                <w:rFonts w:asciiTheme="minorHAnsi" w:hAnsiTheme="minorHAnsi" w:cstheme="minorHAnsi"/>
                <w:sz w:val="18"/>
                <w:szCs w:val="18"/>
              </w:rPr>
            </w:pPr>
            <w:r w:rsidRPr="00396C98">
              <w:rPr>
                <w:rFonts w:asciiTheme="minorHAnsi" w:hAnsiTheme="minorHAnsi" w:cstheme="minorHAnsi"/>
                <w:sz w:val="18"/>
                <w:szCs w:val="18"/>
              </w:rPr>
              <w:t>4.6%</w:t>
            </w:r>
          </w:p>
        </w:tc>
        <w:tc>
          <w:tcPr>
            <w:tcW w:w="1372" w:type="dxa"/>
            <w:tcBorders>
              <w:right w:val="single" w:sz="8" w:space="0" w:color="5B9BD5" w:themeColor="accent1"/>
            </w:tcBorders>
            <w:hideMark/>
          </w:tcPr>
          <w:p w:rsidR="00C87F32" w:rsidRPr="00396C98" w:rsidRDefault="00C87F32" w:rsidP="00396C98">
            <w:pPr>
              <w:spacing w:after="0"/>
              <w:jc w:val="center"/>
              <w:rPr>
                <w:rFonts w:asciiTheme="minorHAnsi" w:hAnsiTheme="minorHAnsi" w:cstheme="minorHAnsi"/>
                <w:sz w:val="18"/>
                <w:szCs w:val="18"/>
              </w:rPr>
            </w:pPr>
            <w:r w:rsidRPr="00396C98">
              <w:rPr>
                <w:rFonts w:asciiTheme="minorHAnsi" w:hAnsiTheme="minorHAnsi" w:cstheme="minorHAnsi"/>
                <w:sz w:val="18"/>
                <w:szCs w:val="18"/>
              </w:rPr>
              <w:t>6.5%</w:t>
            </w:r>
          </w:p>
        </w:tc>
        <w:tc>
          <w:tcPr>
            <w:tcW w:w="1371" w:type="dxa"/>
            <w:tcBorders>
              <w:top w:val="single" w:sz="8" w:space="0" w:color="5B9BD5" w:themeColor="accent1"/>
              <w:left w:val="single" w:sz="8" w:space="0" w:color="5B9BD5" w:themeColor="accent1"/>
              <w:bottom w:val="single" w:sz="8" w:space="0" w:color="5B9BD5" w:themeColor="accent1"/>
            </w:tcBorders>
            <w:hideMark/>
          </w:tcPr>
          <w:p w:rsidR="00C87F32" w:rsidRPr="00396C98" w:rsidRDefault="00C87F32" w:rsidP="00396C98">
            <w:pPr>
              <w:spacing w:after="0"/>
              <w:jc w:val="center"/>
              <w:rPr>
                <w:rFonts w:asciiTheme="minorHAnsi" w:hAnsiTheme="minorHAnsi" w:cstheme="minorHAnsi"/>
                <w:sz w:val="18"/>
                <w:szCs w:val="18"/>
              </w:rPr>
            </w:pPr>
            <w:r w:rsidRPr="00396C98">
              <w:rPr>
                <w:rFonts w:asciiTheme="minorHAnsi" w:hAnsiTheme="minorHAnsi" w:cstheme="minorHAnsi"/>
                <w:sz w:val="18"/>
                <w:szCs w:val="18"/>
              </w:rPr>
              <w:t>2.4%</w:t>
            </w:r>
          </w:p>
        </w:tc>
        <w:tc>
          <w:tcPr>
            <w:tcW w:w="1371" w:type="dxa"/>
            <w:hideMark/>
          </w:tcPr>
          <w:p w:rsidR="00C87F32" w:rsidRPr="00396C98" w:rsidRDefault="00C87F32" w:rsidP="00396C98">
            <w:pPr>
              <w:spacing w:after="0"/>
              <w:jc w:val="center"/>
              <w:rPr>
                <w:rFonts w:asciiTheme="minorHAnsi" w:hAnsiTheme="minorHAnsi" w:cstheme="minorHAnsi"/>
                <w:sz w:val="18"/>
                <w:szCs w:val="18"/>
              </w:rPr>
            </w:pPr>
            <w:r w:rsidRPr="00396C98">
              <w:rPr>
                <w:rFonts w:asciiTheme="minorHAnsi" w:hAnsiTheme="minorHAnsi" w:cstheme="minorHAnsi"/>
                <w:sz w:val="18"/>
                <w:szCs w:val="18"/>
              </w:rPr>
              <w:t>4.8%</w:t>
            </w:r>
          </w:p>
        </w:tc>
        <w:tc>
          <w:tcPr>
            <w:tcW w:w="1372" w:type="dxa"/>
            <w:hideMark/>
          </w:tcPr>
          <w:p w:rsidR="00C87F32" w:rsidRPr="00396C98" w:rsidRDefault="00C87F32" w:rsidP="00396C98">
            <w:pPr>
              <w:spacing w:after="0"/>
              <w:jc w:val="center"/>
              <w:rPr>
                <w:rFonts w:asciiTheme="minorHAnsi" w:hAnsiTheme="minorHAnsi" w:cstheme="minorHAnsi"/>
                <w:sz w:val="18"/>
                <w:szCs w:val="18"/>
              </w:rPr>
            </w:pPr>
            <w:r w:rsidRPr="00396C98">
              <w:rPr>
                <w:rFonts w:asciiTheme="minorHAnsi" w:hAnsiTheme="minorHAnsi" w:cstheme="minorHAnsi"/>
                <w:sz w:val="18"/>
                <w:szCs w:val="18"/>
              </w:rPr>
              <w:t>7.2%</w:t>
            </w:r>
          </w:p>
        </w:tc>
      </w:tr>
      <w:tr w:rsidR="00BA5658" w:rsidRPr="00563642" w:rsidTr="005E5CB1">
        <w:trPr>
          <w:cnfStyle w:val="000000100000" w:firstRow="0" w:lastRow="0" w:firstColumn="0" w:lastColumn="0" w:oddVBand="0" w:evenVBand="0" w:oddHBand="1" w:evenHBand="0" w:firstRowFirstColumn="0" w:firstRowLastColumn="0" w:lastRowFirstColumn="0" w:lastRowLastColumn="0"/>
        </w:trPr>
        <w:tc>
          <w:tcPr>
            <w:tcW w:w="1114" w:type="dxa"/>
            <w:tcBorders>
              <w:right w:val="single" w:sz="8" w:space="0" w:color="5B9BD5" w:themeColor="accent1"/>
            </w:tcBorders>
            <w:noWrap/>
            <w:hideMark/>
          </w:tcPr>
          <w:p w:rsidR="00C87F32" w:rsidRPr="00396C98" w:rsidRDefault="00C87F32" w:rsidP="00396C98">
            <w:pPr>
              <w:spacing w:after="0"/>
              <w:rPr>
                <w:rFonts w:asciiTheme="minorHAnsi" w:hAnsiTheme="minorHAnsi" w:cstheme="minorHAnsi"/>
                <w:sz w:val="18"/>
                <w:szCs w:val="18"/>
              </w:rPr>
            </w:pPr>
            <w:r w:rsidRPr="00396C98">
              <w:rPr>
                <w:rFonts w:asciiTheme="minorHAnsi" w:hAnsiTheme="minorHAnsi" w:cstheme="minorHAnsi"/>
                <w:sz w:val="18"/>
                <w:szCs w:val="18"/>
              </w:rPr>
              <w:t>Japan</w:t>
            </w:r>
          </w:p>
        </w:tc>
        <w:tc>
          <w:tcPr>
            <w:tcW w:w="1371" w:type="dxa"/>
            <w:tcBorders>
              <w:left w:val="single" w:sz="8" w:space="0" w:color="5B9BD5" w:themeColor="accent1"/>
            </w:tcBorders>
            <w:hideMark/>
          </w:tcPr>
          <w:p w:rsidR="00C87F32" w:rsidRPr="00396C98" w:rsidRDefault="00C87F32" w:rsidP="00396C98">
            <w:pPr>
              <w:spacing w:after="0"/>
              <w:jc w:val="center"/>
              <w:rPr>
                <w:rFonts w:asciiTheme="minorHAnsi" w:hAnsiTheme="minorHAnsi" w:cstheme="minorHAnsi"/>
                <w:sz w:val="18"/>
                <w:szCs w:val="18"/>
              </w:rPr>
            </w:pPr>
            <w:r w:rsidRPr="00396C98">
              <w:rPr>
                <w:rFonts w:asciiTheme="minorHAnsi" w:hAnsiTheme="minorHAnsi" w:cstheme="minorHAnsi"/>
                <w:sz w:val="18"/>
                <w:szCs w:val="18"/>
              </w:rPr>
              <w:t>3.2%</w:t>
            </w:r>
          </w:p>
        </w:tc>
        <w:tc>
          <w:tcPr>
            <w:tcW w:w="1371" w:type="dxa"/>
            <w:hideMark/>
          </w:tcPr>
          <w:p w:rsidR="00C87F32" w:rsidRPr="00396C98" w:rsidRDefault="00C87F32" w:rsidP="00396C98">
            <w:pPr>
              <w:spacing w:after="0"/>
              <w:jc w:val="center"/>
              <w:rPr>
                <w:rFonts w:asciiTheme="minorHAnsi" w:hAnsiTheme="minorHAnsi" w:cstheme="minorHAnsi"/>
                <w:sz w:val="18"/>
                <w:szCs w:val="18"/>
              </w:rPr>
            </w:pPr>
            <w:r w:rsidRPr="00396C98">
              <w:rPr>
                <w:rFonts w:asciiTheme="minorHAnsi" w:hAnsiTheme="minorHAnsi" w:cstheme="minorHAnsi"/>
                <w:sz w:val="18"/>
                <w:szCs w:val="18"/>
              </w:rPr>
              <w:t>3.8%</w:t>
            </w:r>
          </w:p>
        </w:tc>
        <w:tc>
          <w:tcPr>
            <w:tcW w:w="1372" w:type="dxa"/>
            <w:tcBorders>
              <w:right w:val="single" w:sz="8" w:space="0" w:color="5B9BD5" w:themeColor="accent1"/>
            </w:tcBorders>
            <w:hideMark/>
          </w:tcPr>
          <w:p w:rsidR="00C87F32" w:rsidRPr="00396C98" w:rsidRDefault="00C87F32" w:rsidP="00396C98">
            <w:pPr>
              <w:spacing w:after="0"/>
              <w:jc w:val="center"/>
              <w:rPr>
                <w:rFonts w:asciiTheme="minorHAnsi" w:hAnsiTheme="minorHAnsi" w:cstheme="minorHAnsi"/>
                <w:sz w:val="18"/>
                <w:szCs w:val="18"/>
              </w:rPr>
            </w:pPr>
            <w:r w:rsidRPr="00396C98">
              <w:rPr>
                <w:rFonts w:asciiTheme="minorHAnsi" w:hAnsiTheme="minorHAnsi" w:cstheme="minorHAnsi"/>
                <w:sz w:val="18"/>
                <w:szCs w:val="18"/>
              </w:rPr>
              <w:t>7.0%</w:t>
            </w:r>
          </w:p>
        </w:tc>
        <w:tc>
          <w:tcPr>
            <w:tcW w:w="1371" w:type="dxa"/>
            <w:tcBorders>
              <w:left w:val="single" w:sz="8" w:space="0" w:color="5B9BD5" w:themeColor="accent1"/>
            </w:tcBorders>
            <w:hideMark/>
          </w:tcPr>
          <w:p w:rsidR="00C87F32" w:rsidRPr="00396C98" w:rsidRDefault="00C87F32" w:rsidP="00396C98">
            <w:pPr>
              <w:spacing w:after="0"/>
              <w:jc w:val="center"/>
              <w:rPr>
                <w:rFonts w:asciiTheme="minorHAnsi" w:hAnsiTheme="minorHAnsi" w:cstheme="minorHAnsi"/>
                <w:sz w:val="18"/>
                <w:szCs w:val="18"/>
              </w:rPr>
            </w:pPr>
            <w:r w:rsidRPr="00396C98">
              <w:rPr>
                <w:rFonts w:asciiTheme="minorHAnsi" w:hAnsiTheme="minorHAnsi" w:cstheme="minorHAnsi"/>
                <w:sz w:val="18"/>
                <w:szCs w:val="18"/>
              </w:rPr>
              <w:t>3.9%</w:t>
            </w:r>
          </w:p>
        </w:tc>
        <w:tc>
          <w:tcPr>
            <w:tcW w:w="1371" w:type="dxa"/>
            <w:hideMark/>
          </w:tcPr>
          <w:p w:rsidR="00C87F32" w:rsidRPr="00396C98" w:rsidRDefault="00C87F32" w:rsidP="00396C98">
            <w:pPr>
              <w:spacing w:after="0"/>
              <w:jc w:val="center"/>
              <w:rPr>
                <w:rFonts w:asciiTheme="minorHAnsi" w:hAnsiTheme="minorHAnsi" w:cstheme="minorHAnsi"/>
                <w:sz w:val="18"/>
                <w:szCs w:val="18"/>
              </w:rPr>
            </w:pPr>
            <w:r w:rsidRPr="00396C98">
              <w:rPr>
                <w:rFonts w:asciiTheme="minorHAnsi" w:hAnsiTheme="minorHAnsi" w:cstheme="minorHAnsi"/>
                <w:sz w:val="18"/>
                <w:szCs w:val="18"/>
              </w:rPr>
              <w:t>4.1%</w:t>
            </w:r>
          </w:p>
        </w:tc>
        <w:tc>
          <w:tcPr>
            <w:tcW w:w="1372" w:type="dxa"/>
            <w:hideMark/>
          </w:tcPr>
          <w:p w:rsidR="00C87F32" w:rsidRPr="00396C98" w:rsidRDefault="00C87F32" w:rsidP="00396C98">
            <w:pPr>
              <w:spacing w:after="0"/>
              <w:jc w:val="center"/>
              <w:rPr>
                <w:rFonts w:asciiTheme="minorHAnsi" w:hAnsiTheme="minorHAnsi" w:cstheme="minorHAnsi"/>
                <w:sz w:val="18"/>
                <w:szCs w:val="18"/>
              </w:rPr>
            </w:pPr>
            <w:r w:rsidRPr="00396C98">
              <w:rPr>
                <w:rFonts w:asciiTheme="minorHAnsi" w:hAnsiTheme="minorHAnsi" w:cstheme="minorHAnsi"/>
                <w:sz w:val="18"/>
                <w:szCs w:val="18"/>
              </w:rPr>
              <w:t>8.0%</w:t>
            </w:r>
          </w:p>
        </w:tc>
      </w:tr>
      <w:tr w:rsidR="00BA5658" w:rsidRPr="00563642" w:rsidTr="005E5CB1">
        <w:tc>
          <w:tcPr>
            <w:tcW w:w="1114" w:type="dxa"/>
            <w:tcBorders>
              <w:right w:val="single" w:sz="8" w:space="0" w:color="5B9BD5" w:themeColor="accent1"/>
            </w:tcBorders>
            <w:noWrap/>
            <w:hideMark/>
          </w:tcPr>
          <w:p w:rsidR="00C87F32" w:rsidRPr="00396C98" w:rsidRDefault="00C87F32" w:rsidP="00396C98">
            <w:pPr>
              <w:spacing w:after="0"/>
              <w:rPr>
                <w:rFonts w:asciiTheme="minorHAnsi" w:hAnsiTheme="minorHAnsi" w:cstheme="minorHAnsi"/>
                <w:sz w:val="18"/>
                <w:szCs w:val="18"/>
              </w:rPr>
            </w:pPr>
            <w:r w:rsidRPr="00396C98">
              <w:rPr>
                <w:rFonts w:asciiTheme="minorHAnsi" w:hAnsiTheme="minorHAnsi" w:cstheme="minorHAnsi"/>
                <w:sz w:val="18"/>
                <w:szCs w:val="18"/>
              </w:rPr>
              <w:t>Malaysia</w:t>
            </w:r>
          </w:p>
        </w:tc>
        <w:tc>
          <w:tcPr>
            <w:tcW w:w="1371" w:type="dxa"/>
            <w:tcBorders>
              <w:top w:val="single" w:sz="8" w:space="0" w:color="5B9BD5" w:themeColor="accent1"/>
              <w:left w:val="single" w:sz="8" w:space="0" w:color="5B9BD5" w:themeColor="accent1"/>
              <w:bottom w:val="single" w:sz="8" w:space="0" w:color="5B9BD5" w:themeColor="accent1"/>
            </w:tcBorders>
            <w:hideMark/>
          </w:tcPr>
          <w:p w:rsidR="00C87F32" w:rsidRPr="00396C98" w:rsidRDefault="00C87F32" w:rsidP="00396C98">
            <w:pPr>
              <w:spacing w:after="0"/>
              <w:jc w:val="center"/>
              <w:rPr>
                <w:rFonts w:asciiTheme="minorHAnsi" w:hAnsiTheme="minorHAnsi" w:cstheme="minorHAnsi"/>
                <w:sz w:val="18"/>
                <w:szCs w:val="18"/>
              </w:rPr>
            </w:pPr>
            <w:r w:rsidRPr="00396C98">
              <w:rPr>
                <w:rFonts w:asciiTheme="minorHAnsi" w:hAnsiTheme="minorHAnsi" w:cstheme="minorHAnsi"/>
                <w:sz w:val="18"/>
                <w:szCs w:val="18"/>
              </w:rPr>
              <w:t>1.7%</w:t>
            </w:r>
          </w:p>
        </w:tc>
        <w:tc>
          <w:tcPr>
            <w:tcW w:w="1371" w:type="dxa"/>
            <w:hideMark/>
          </w:tcPr>
          <w:p w:rsidR="00C87F32" w:rsidRPr="00396C98" w:rsidRDefault="00C87F32" w:rsidP="00396C98">
            <w:pPr>
              <w:spacing w:after="0"/>
              <w:jc w:val="center"/>
              <w:rPr>
                <w:rFonts w:asciiTheme="minorHAnsi" w:hAnsiTheme="minorHAnsi" w:cstheme="minorHAnsi"/>
                <w:sz w:val="18"/>
                <w:szCs w:val="18"/>
              </w:rPr>
            </w:pPr>
            <w:r w:rsidRPr="00396C98">
              <w:rPr>
                <w:rFonts w:asciiTheme="minorHAnsi" w:hAnsiTheme="minorHAnsi" w:cstheme="minorHAnsi"/>
                <w:sz w:val="18"/>
                <w:szCs w:val="18"/>
              </w:rPr>
              <w:t>4.5%</w:t>
            </w:r>
          </w:p>
        </w:tc>
        <w:tc>
          <w:tcPr>
            <w:tcW w:w="1372" w:type="dxa"/>
            <w:tcBorders>
              <w:right w:val="single" w:sz="8" w:space="0" w:color="5B9BD5" w:themeColor="accent1"/>
            </w:tcBorders>
            <w:hideMark/>
          </w:tcPr>
          <w:p w:rsidR="00C87F32" w:rsidRPr="00396C98" w:rsidRDefault="00C87F32" w:rsidP="00396C98">
            <w:pPr>
              <w:spacing w:after="0"/>
              <w:jc w:val="center"/>
              <w:rPr>
                <w:rFonts w:asciiTheme="minorHAnsi" w:hAnsiTheme="minorHAnsi" w:cstheme="minorHAnsi"/>
                <w:sz w:val="18"/>
                <w:szCs w:val="18"/>
              </w:rPr>
            </w:pPr>
            <w:r w:rsidRPr="00396C98">
              <w:rPr>
                <w:rFonts w:asciiTheme="minorHAnsi" w:hAnsiTheme="minorHAnsi" w:cstheme="minorHAnsi"/>
                <w:sz w:val="18"/>
                <w:szCs w:val="18"/>
              </w:rPr>
              <w:t>6.2%</w:t>
            </w:r>
          </w:p>
        </w:tc>
        <w:tc>
          <w:tcPr>
            <w:tcW w:w="1371" w:type="dxa"/>
            <w:tcBorders>
              <w:top w:val="single" w:sz="8" w:space="0" w:color="5B9BD5" w:themeColor="accent1"/>
              <w:left w:val="single" w:sz="8" w:space="0" w:color="5B9BD5" w:themeColor="accent1"/>
              <w:bottom w:val="single" w:sz="8" w:space="0" w:color="5B9BD5" w:themeColor="accent1"/>
            </w:tcBorders>
            <w:hideMark/>
          </w:tcPr>
          <w:p w:rsidR="00C87F32" w:rsidRPr="00396C98" w:rsidRDefault="00C87F32" w:rsidP="00396C98">
            <w:pPr>
              <w:spacing w:after="0"/>
              <w:jc w:val="center"/>
              <w:rPr>
                <w:rFonts w:asciiTheme="minorHAnsi" w:hAnsiTheme="minorHAnsi" w:cstheme="minorHAnsi"/>
                <w:sz w:val="18"/>
                <w:szCs w:val="18"/>
              </w:rPr>
            </w:pPr>
            <w:r w:rsidRPr="00396C98">
              <w:rPr>
                <w:rFonts w:asciiTheme="minorHAnsi" w:hAnsiTheme="minorHAnsi" w:cstheme="minorHAnsi"/>
                <w:sz w:val="18"/>
                <w:szCs w:val="18"/>
              </w:rPr>
              <w:t>2.0%</w:t>
            </w:r>
          </w:p>
        </w:tc>
        <w:tc>
          <w:tcPr>
            <w:tcW w:w="1371" w:type="dxa"/>
            <w:hideMark/>
          </w:tcPr>
          <w:p w:rsidR="00C87F32" w:rsidRPr="00396C98" w:rsidRDefault="00C87F32" w:rsidP="00396C98">
            <w:pPr>
              <w:spacing w:after="0"/>
              <w:jc w:val="center"/>
              <w:rPr>
                <w:rFonts w:asciiTheme="minorHAnsi" w:hAnsiTheme="minorHAnsi" w:cstheme="minorHAnsi"/>
                <w:sz w:val="18"/>
                <w:szCs w:val="18"/>
              </w:rPr>
            </w:pPr>
            <w:r w:rsidRPr="00396C98">
              <w:rPr>
                <w:rFonts w:asciiTheme="minorHAnsi" w:hAnsiTheme="minorHAnsi" w:cstheme="minorHAnsi"/>
                <w:sz w:val="18"/>
                <w:szCs w:val="18"/>
              </w:rPr>
              <w:t>4.9%</w:t>
            </w:r>
          </w:p>
        </w:tc>
        <w:tc>
          <w:tcPr>
            <w:tcW w:w="1372" w:type="dxa"/>
            <w:hideMark/>
          </w:tcPr>
          <w:p w:rsidR="00C87F32" w:rsidRPr="00396C98" w:rsidRDefault="00C87F32" w:rsidP="00396C98">
            <w:pPr>
              <w:spacing w:after="0"/>
              <w:jc w:val="center"/>
              <w:rPr>
                <w:rFonts w:asciiTheme="minorHAnsi" w:hAnsiTheme="minorHAnsi" w:cstheme="minorHAnsi"/>
                <w:sz w:val="18"/>
                <w:szCs w:val="18"/>
              </w:rPr>
            </w:pPr>
            <w:r w:rsidRPr="00396C98">
              <w:rPr>
                <w:rFonts w:asciiTheme="minorHAnsi" w:hAnsiTheme="minorHAnsi" w:cstheme="minorHAnsi"/>
                <w:sz w:val="18"/>
                <w:szCs w:val="18"/>
              </w:rPr>
              <w:t>6.9%</w:t>
            </w:r>
          </w:p>
        </w:tc>
      </w:tr>
      <w:tr w:rsidR="00BA5658" w:rsidRPr="00563642" w:rsidTr="005E5CB1">
        <w:trPr>
          <w:cnfStyle w:val="000000100000" w:firstRow="0" w:lastRow="0" w:firstColumn="0" w:lastColumn="0" w:oddVBand="0" w:evenVBand="0" w:oddHBand="1" w:evenHBand="0" w:firstRowFirstColumn="0" w:firstRowLastColumn="0" w:lastRowFirstColumn="0" w:lastRowLastColumn="0"/>
        </w:trPr>
        <w:tc>
          <w:tcPr>
            <w:tcW w:w="1114" w:type="dxa"/>
            <w:tcBorders>
              <w:right w:val="single" w:sz="8" w:space="0" w:color="5B9BD5" w:themeColor="accent1"/>
            </w:tcBorders>
            <w:noWrap/>
            <w:hideMark/>
          </w:tcPr>
          <w:p w:rsidR="00C87F32" w:rsidRPr="00396C98" w:rsidRDefault="00C87F32" w:rsidP="00396C98">
            <w:pPr>
              <w:spacing w:after="0"/>
              <w:rPr>
                <w:rFonts w:asciiTheme="minorHAnsi" w:hAnsiTheme="minorHAnsi" w:cstheme="minorHAnsi"/>
                <w:sz w:val="18"/>
                <w:szCs w:val="18"/>
              </w:rPr>
            </w:pPr>
            <w:r w:rsidRPr="00396C98">
              <w:rPr>
                <w:rFonts w:asciiTheme="minorHAnsi" w:hAnsiTheme="minorHAnsi" w:cstheme="minorHAnsi"/>
                <w:sz w:val="18"/>
                <w:szCs w:val="18"/>
              </w:rPr>
              <w:t>Philippines</w:t>
            </w:r>
          </w:p>
        </w:tc>
        <w:tc>
          <w:tcPr>
            <w:tcW w:w="1371" w:type="dxa"/>
            <w:tcBorders>
              <w:left w:val="single" w:sz="8" w:space="0" w:color="5B9BD5" w:themeColor="accent1"/>
            </w:tcBorders>
            <w:hideMark/>
          </w:tcPr>
          <w:p w:rsidR="00C87F32" w:rsidRPr="00396C98" w:rsidRDefault="00C87F32" w:rsidP="00396C98">
            <w:pPr>
              <w:spacing w:after="0"/>
              <w:jc w:val="center"/>
              <w:rPr>
                <w:rFonts w:asciiTheme="minorHAnsi" w:hAnsiTheme="minorHAnsi" w:cstheme="minorHAnsi"/>
                <w:sz w:val="18"/>
                <w:szCs w:val="18"/>
              </w:rPr>
            </w:pPr>
            <w:r w:rsidRPr="00396C98">
              <w:rPr>
                <w:rFonts w:asciiTheme="minorHAnsi" w:hAnsiTheme="minorHAnsi" w:cstheme="minorHAnsi"/>
                <w:sz w:val="18"/>
                <w:szCs w:val="18"/>
              </w:rPr>
              <w:t>2.4%</w:t>
            </w:r>
          </w:p>
        </w:tc>
        <w:tc>
          <w:tcPr>
            <w:tcW w:w="1371" w:type="dxa"/>
            <w:hideMark/>
          </w:tcPr>
          <w:p w:rsidR="00C87F32" w:rsidRPr="00396C98" w:rsidRDefault="00C87F32" w:rsidP="00396C98">
            <w:pPr>
              <w:spacing w:after="0"/>
              <w:jc w:val="center"/>
              <w:rPr>
                <w:rFonts w:asciiTheme="minorHAnsi" w:hAnsiTheme="minorHAnsi" w:cstheme="minorHAnsi"/>
                <w:sz w:val="18"/>
                <w:szCs w:val="18"/>
              </w:rPr>
            </w:pPr>
            <w:r w:rsidRPr="00396C98">
              <w:rPr>
                <w:rFonts w:asciiTheme="minorHAnsi" w:hAnsiTheme="minorHAnsi" w:cstheme="minorHAnsi"/>
                <w:sz w:val="18"/>
                <w:szCs w:val="18"/>
              </w:rPr>
              <w:t>5.1%</w:t>
            </w:r>
          </w:p>
        </w:tc>
        <w:tc>
          <w:tcPr>
            <w:tcW w:w="1372" w:type="dxa"/>
            <w:tcBorders>
              <w:right w:val="single" w:sz="8" w:space="0" w:color="5B9BD5" w:themeColor="accent1"/>
            </w:tcBorders>
            <w:hideMark/>
          </w:tcPr>
          <w:p w:rsidR="00C87F32" w:rsidRPr="00396C98" w:rsidRDefault="00C87F32" w:rsidP="00396C98">
            <w:pPr>
              <w:spacing w:after="0"/>
              <w:jc w:val="center"/>
              <w:rPr>
                <w:rFonts w:asciiTheme="minorHAnsi" w:hAnsiTheme="minorHAnsi" w:cstheme="minorHAnsi"/>
                <w:sz w:val="18"/>
                <w:szCs w:val="18"/>
              </w:rPr>
            </w:pPr>
            <w:r w:rsidRPr="00396C98">
              <w:rPr>
                <w:rFonts w:asciiTheme="minorHAnsi" w:hAnsiTheme="minorHAnsi" w:cstheme="minorHAnsi"/>
                <w:sz w:val="18"/>
                <w:szCs w:val="18"/>
              </w:rPr>
              <w:t>7.5%</w:t>
            </w:r>
          </w:p>
        </w:tc>
        <w:tc>
          <w:tcPr>
            <w:tcW w:w="1371" w:type="dxa"/>
            <w:tcBorders>
              <w:left w:val="single" w:sz="8" w:space="0" w:color="5B9BD5" w:themeColor="accent1"/>
            </w:tcBorders>
            <w:hideMark/>
          </w:tcPr>
          <w:p w:rsidR="00C87F32" w:rsidRPr="00396C98" w:rsidRDefault="00C87F32" w:rsidP="00396C98">
            <w:pPr>
              <w:spacing w:after="0"/>
              <w:jc w:val="center"/>
              <w:rPr>
                <w:rFonts w:asciiTheme="minorHAnsi" w:hAnsiTheme="minorHAnsi" w:cstheme="minorHAnsi"/>
                <w:sz w:val="18"/>
                <w:szCs w:val="18"/>
              </w:rPr>
            </w:pPr>
            <w:r w:rsidRPr="00396C98">
              <w:rPr>
                <w:rFonts w:asciiTheme="minorHAnsi" w:hAnsiTheme="minorHAnsi" w:cstheme="minorHAnsi"/>
                <w:sz w:val="18"/>
                <w:szCs w:val="18"/>
              </w:rPr>
              <w:t>2.6%</w:t>
            </w:r>
          </w:p>
        </w:tc>
        <w:tc>
          <w:tcPr>
            <w:tcW w:w="1371" w:type="dxa"/>
            <w:hideMark/>
          </w:tcPr>
          <w:p w:rsidR="00C87F32" w:rsidRPr="00396C98" w:rsidRDefault="00C87F32" w:rsidP="00396C98">
            <w:pPr>
              <w:spacing w:after="0"/>
              <w:jc w:val="center"/>
              <w:rPr>
                <w:rFonts w:asciiTheme="minorHAnsi" w:hAnsiTheme="minorHAnsi" w:cstheme="minorHAnsi"/>
                <w:sz w:val="18"/>
                <w:szCs w:val="18"/>
              </w:rPr>
            </w:pPr>
            <w:r w:rsidRPr="00396C98">
              <w:rPr>
                <w:rFonts w:asciiTheme="minorHAnsi" w:hAnsiTheme="minorHAnsi" w:cstheme="minorHAnsi"/>
                <w:sz w:val="18"/>
                <w:szCs w:val="18"/>
              </w:rPr>
              <w:t>5.2%</w:t>
            </w:r>
          </w:p>
        </w:tc>
        <w:tc>
          <w:tcPr>
            <w:tcW w:w="1372" w:type="dxa"/>
            <w:hideMark/>
          </w:tcPr>
          <w:p w:rsidR="00C87F32" w:rsidRPr="00396C98" w:rsidRDefault="00C87F32" w:rsidP="00396C98">
            <w:pPr>
              <w:spacing w:after="0"/>
              <w:jc w:val="center"/>
              <w:rPr>
                <w:rFonts w:asciiTheme="minorHAnsi" w:hAnsiTheme="minorHAnsi" w:cstheme="minorHAnsi"/>
                <w:sz w:val="18"/>
                <w:szCs w:val="18"/>
              </w:rPr>
            </w:pPr>
            <w:r w:rsidRPr="00396C98">
              <w:rPr>
                <w:rFonts w:asciiTheme="minorHAnsi" w:hAnsiTheme="minorHAnsi" w:cstheme="minorHAnsi"/>
                <w:sz w:val="18"/>
                <w:szCs w:val="18"/>
              </w:rPr>
              <w:t>7.8%</w:t>
            </w:r>
          </w:p>
        </w:tc>
      </w:tr>
      <w:tr w:rsidR="00BA5658" w:rsidRPr="00563642" w:rsidTr="005E5CB1">
        <w:tc>
          <w:tcPr>
            <w:tcW w:w="1114" w:type="dxa"/>
            <w:tcBorders>
              <w:right w:val="single" w:sz="8" w:space="0" w:color="5B9BD5" w:themeColor="accent1"/>
            </w:tcBorders>
            <w:noWrap/>
            <w:hideMark/>
          </w:tcPr>
          <w:p w:rsidR="00C87F32" w:rsidRPr="00396C98" w:rsidRDefault="00C87F32" w:rsidP="00396C98">
            <w:pPr>
              <w:spacing w:after="0"/>
              <w:rPr>
                <w:rFonts w:asciiTheme="minorHAnsi" w:hAnsiTheme="minorHAnsi" w:cstheme="minorHAnsi"/>
                <w:sz w:val="18"/>
                <w:szCs w:val="18"/>
              </w:rPr>
            </w:pPr>
            <w:r w:rsidRPr="00396C98">
              <w:rPr>
                <w:rFonts w:asciiTheme="minorHAnsi" w:hAnsiTheme="minorHAnsi" w:cstheme="minorHAnsi"/>
                <w:sz w:val="18"/>
                <w:szCs w:val="18"/>
              </w:rPr>
              <w:t>Singapore</w:t>
            </w:r>
          </w:p>
        </w:tc>
        <w:tc>
          <w:tcPr>
            <w:tcW w:w="1371" w:type="dxa"/>
            <w:tcBorders>
              <w:top w:val="single" w:sz="8" w:space="0" w:color="5B9BD5" w:themeColor="accent1"/>
              <w:left w:val="single" w:sz="8" w:space="0" w:color="5B9BD5" w:themeColor="accent1"/>
              <w:bottom w:val="single" w:sz="8" w:space="0" w:color="5B9BD5" w:themeColor="accent1"/>
            </w:tcBorders>
            <w:hideMark/>
          </w:tcPr>
          <w:p w:rsidR="00C87F32" w:rsidRPr="00396C98" w:rsidRDefault="00C87F32" w:rsidP="00396C98">
            <w:pPr>
              <w:spacing w:after="0"/>
              <w:jc w:val="center"/>
              <w:rPr>
                <w:rFonts w:asciiTheme="minorHAnsi" w:hAnsiTheme="minorHAnsi" w:cstheme="minorHAnsi"/>
                <w:sz w:val="18"/>
                <w:szCs w:val="18"/>
              </w:rPr>
            </w:pPr>
            <w:r w:rsidRPr="00396C98">
              <w:rPr>
                <w:rFonts w:asciiTheme="minorHAnsi" w:hAnsiTheme="minorHAnsi" w:cstheme="minorHAnsi"/>
                <w:sz w:val="18"/>
                <w:szCs w:val="18"/>
              </w:rPr>
              <w:t>2.2%</w:t>
            </w:r>
          </w:p>
        </w:tc>
        <w:tc>
          <w:tcPr>
            <w:tcW w:w="1371" w:type="dxa"/>
            <w:hideMark/>
          </w:tcPr>
          <w:p w:rsidR="00C87F32" w:rsidRPr="00396C98" w:rsidRDefault="00C87F32" w:rsidP="00396C98">
            <w:pPr>
              <w:spacing w:after="0"/>
              <w:jc w:val="center"/>
              <w:rPr>
                <w:rFonts w:asciiTheme="minorHAnsi" w:hAnsiTheme="minorHAnsi" w:cstheme="minorHAnsi"/>
                <w:sz w:val="18"/>
                <w:szCs w:val="18"/>
              </w:rPr>
            </w:pPr>
            <w:r w:rsidRPr="00396C98">
              <w:rPr>
                <w:rFonts w:asciiTheme="minorHAnsi" w:hAnsiTheme="minorHAnsi" w:cstheme="minorHAnsi"/>
                <w:sz w:val="18"/>
                <w:szCs w:val="18"/>
              </w:rPr>
              <w:t>3.2%</w:t>
            </w:r>
          </w:p>
        </w:tc>
        <w:tc>
          <w:tcPr>
            <w:tcW w:w="1372" w:type="dxa"/>
            <w:tcBorders>
              <w:right w:val="single" w:sz="8" w:space="0" w:color="5B9BD5" w:themeColor="accent1"/>
            </w:tcBorders>
            <w:hideMark/>
          </w:tcPr>
          <w:p w:rsidR="00C87F32" w:rsidRPr="00396C98" w:rsidRDefault="00C87F32" w:rsidP="00396C98">
            <w:pPr>
              <w:spacing w:after="0"/>
              <w:jc w:val="center"/>
              <w:rPr>
                <w:rFonts w:asciiTheme="minorHAnsi" w:hAnsiTheme="minorHAnsi" w:cstheme="minorHAnsi"/>
                <w:sz w:val="18"/>
                <w:szCs w:val="18"/>
              </w:rPr>
            </w:pPr>
            <w:r w:rsidRPr="00396C98">
              <w:rPr>
                <w:rFonts w:asciiTheme="minorHAnsi" w:hAnsiTheme="minorHAnsi" w:cstheme="minorHAnsi"/>
                <w:sz w:val="18"/>
                <w:szCs w:val="18"/>
              </w:rPr>
              <w:t>5.4%</w:t>
            </w:r>
          </w:p>
        </w:tc>
        <w:tc>
          <w:tcPr>
            <w:tcW w:w="1371" w:type="dxa"/>
            <w:tcBorders>
              <w:top w:val="single" w:sz="8" w:space="0" w:color="5B9BD5" w:themeColor="accent1"/>
              <w:left w:val="single" w:sz="8" w:space="0" w:color="5B9BD5" w:themeColor="accent1"/>
              <w:bottom w:val="single" w:sz="8" w:space="0" w:color="5B9BD5" w:themeColor="accent1"/>
            </w:tcBorders>
            <w:hideMark/>
          </w:tcPr>
          <w:p w:rsidR="00C87F32" w:rsidRPr="00396C98" w:rsidRDefault="00C87F32" w:rsidP="00396C98">
            <w:pPr>
              <w:spacing w:after="0"/>
              <w:jc w:val="center"/>
              <w:rPr>
                <w:rFonts w:asciiTheme="minorHAnsi" w:hAnsiTheme="minorHAnsi" w:cstheme="minorHAnsi"/>
                <w:sz w:val="18"/>
                <w:szCs w:val="18"/>
              </w:rPr>
            </w:pPr>
            <w:r w:rsidRPr="00396C98">
              <w:rPr>
                <w:rFonts w:asciiTheme="minorHAnsi" w:hAnsiTheme="minorHAnsi" w:cstheme="minorHAnsi"/>
                <w:sz w:val="18"/>
                <w:szCs w:val="18"/>
              </w:rPr>
              <w:t>2.3%</w:t>
            </w:r>
          </w:p>
        </w:tc>
        <w:tc>
          <w:tcPr>
            <w:tcW w:w="1371" w:type="dxa"/>
            <w:hideMark/>
          </w:tcPr>
          <w:p w:rsidR="00C87F32" w:rsidRPr="00396C98" w:rsidRDefault="00C87F32" w:rsidP="00396C98">
            <w:pPr>
              <w:spacing w:after="0"/>
              <w:jc w:val="center"/>
              <w:rPr>
                <w:rFonts w:asciiTheme="minorHAnsi" w:hAnsiTheme="minorHAnsi" w:cstheme="minorHAnsi"/>
                <w:sz w:val="18"/>
                <w:szCs w:val="18"/>
              </w:rPr>
            </w:pPr>
            <w:r w:rsidRPr="00396C98">
              <w:rPr>
                <w:rFonts w:asciiTheme="minorHAnsi" w:hAnsiTheme="minorHAnsi" w:cstheme="minorHAnsi"/>
                <w:sz w:val="18"/>
                <w:szCs w:val="18"/>
              </w:rPr>
              <w:t>3.4%</w:t>
            </w:r>
          </w:p>
        </w:tc>
        <w:tc>
          <w:tcPr>
            <w:tcW w:w="1372" w:type="dxa"/>
            <w:hideMark/>
          </w:tcPr>
          <w:p w:rsidR="00C87F32" w:rsidRPr="00396C98" w:rsidRDefault="00C87F32" w:rsidP="00396C98">
            <w:pPr>
              <w:spacing w:after="0"/>
              <w:jc w:val="center"/>
              <w:rPr>
                <w:rFonts w:asciiTheme="minorHAnsi" w:hAnsiTheme="minorHAnsi" w:cstheme="minorHAnsi"/>
                <w:sz w:val="18"/>
                <w:szCs w:val="18"/>
              </w:rPr>
            </w:pPr>
            <w:r w:rsidRPr="00396C98">
              <w:rPr>
                <w:rFonts w:asciiTheme="minorHAnsi" w:hAnsiTheme="minorHAnsi" w:cstheme="minorHAnsi"/>
                <w:sz w:val="18"/>
                <w:szCs w:val="18"/>
              </w:rPr>
              <w:t>5.7%</w:t>
            </w:r>
          </w:p>
        </w:tc>
      </w:tr>
      <w:tr w:rsidR="00563642" w:rsidRPr="00563642" w:rsidTr="005E5CB1">
        <w:trPr>
          <w:cnfStyle w:val="000000100000" w:firstRow="0" w:lastRow="0" w:firstColumn="0" w:lastColumn="0" w:oddVBand="0" w:evenVBand="0" w:oddHBand="1" w:evenHBand="0" w:firstRowFirstColumn="0" w:firstRowLastColumn="0" w:lastRowFirstColumn="0" w:lastRowLastColumn="0"/>
        </w:trPr>
        <w:tc>
          <w:tcPr>
            <w:tcW w:w="1114" w:type="dxa"/>
            <w:tcBorders>
              <w:right w:val="single" w:sz="8" w:space="0" w:color="5B9BD5" w:themeColor="accent1"/>
            </w:tcBorders>
            <w:noWrap/>
            <w:hideMark/>
          </w:tcPr>
          <w:p w:rsidR="00C87F32" w:rsidRPr="00396C98" w:rsidRDefault="00C87F32" w:rsidP="00396C98">
            <w:pPr>
              <w:spacing w:after="0"/>
              <w:rPr>
                <w:rFonts w:asciiTheme="minorHAnsi" w:hAnsiTheme="minorHAnsi" w:cstheme="minorHAnsi"/>
                <w:sz w:val="18"/>
                <w:szCs w:val="18"/>
              </w:rPr>
            </w:pPr>
            <w:r w:rsidRPr="00396C98">
              <w:rPr>
                <w:rFonts w:asciiTheme="minorHAnsi" w:hAnsiTheme="minorHAnsi" w:cstheme="minorHAnsi"/>
                <w:sz w:val="18"/>
                <w:szCs w:val="18"/>
              </w:rPr>
              <w:t>USA</w:t>
            </w:r>
          </w:p>
        </w:tc>
        <w:tc>
          <w:tcPr>
            <w:tcW w:w="1371" w:type="dxa"/>
            <w:tcBorders>
              <w:left w:val="single" w:sz="8" w:space="0" w:color="5B9BD5" w:themeColor="accent1"/>
            </w:tcBorders>
            <w:hideMark/>
          </w:tcPr>
          <w:p w:rsidR="00C87F32" w:rsidRPr="00396C98" w:rsidRDefault="00C87F32" w:rsidP="00396C98">
            <w:pPr>
              <w:spacing w:after="0"/>
              <w:jc w:val="center"/>
              <w:rPr>
                <w:rFonts w:asciiTheme="minorHAnsi" w:hAnsiTheme="minorHAnsi" w:cstheme="minorHAnsi"/>
                <w:sz w:val="18"/>
                <w:szCs w:val="18"/>
              </w:rPr>
            </w:pPr>
            <w:r w:rsidRPr="00396C98">
              <w:rPr>
                <w:rFonts w:asciiTheme="minorHAnsi" w:hAnsiTheme="minorHAnsi" w:cstheme="minorHAnsi"/>
                <w:sz w:val="18"/>
                <w:szCs w:val="18"/>
              </w:rPr>
              <w:t>3.5%</w:t>
            </w:r>
          </w:p>
        </w:tc>
        <w:tc>
          <w:tcPr>
            <w:tcW w:w="1371" w:type="dxa"/>
            <w:hideMark/>
          </w:tcPr>
          <w:p w:rsidR="00C87F32" w:rsidRPr="00396C98" w:rsidRDefault="00C87F32" w:rsidP="00396C98">
            <w:pPr>
              <w:spacing w:after="0"/>
              <w:jc w:val="center"/>
              <w:rPr>
                <w:rFonts w:asciiTheme="minorHAnsi" w:hAnsiTheme="minorHAnsi" w:cstheme="minorHAnsi"/>
                <w:sz w:val="18"/>
                <w:szCs w:val="18"/>
              </w:rPr>
            </w:pPr>
            <w:r w:rsidRPr="00396C98">
              <w:rPr>
                <w:rFonts w:asciiTheme="minorHAnsi" w:hAnsiTheme="minorHAnsi" w:cstheme="minorHAnsi"/>
                <w:sz w:val="18"/>
                <w:szCs w:val="18"/>
              </w:rPr>
              <w:t>5.0%</w:t>
            </w:r>
          </w:p>
        </w:tc>
        <w:tc>
          <w:tcPr>
            <w:tcW w:w="1372" w:type="dxa"/>
            <w:tcBorders>
              <w:right w:val="single" w:sz="8" w:space="0" w:color="5B9BD5" w:themeColor="accent1"/>
            </w:tcBorders>
            <w:hideMark/>
          </w:tcPr>
          <w:p w:rsidR="00C87F32" w:rsidRPr="00396C98" w:rsidRDefault="00C87F32" w:rsidP="00396C98">
            <w:pPr>
              <w:spacing w:after="0"/>
              <w:jc w:val="center"/>
              <w:rPr>
                <w:rFonts w:asciiTheme="minorHAnsi" w:hAnsiTheme="minorHAnsi" w:cstheme="minorHAnsi"/>
                <w:sz w:val="18"/>
                <w:szCs w:val="18"/>
              </w:rPr>
            </w:pPr>
            <w:r w:rsidRPr="00396C98">
              <w:rPr>
                <w:rFonts w:asciiTheme="minorHAnsi" w:hAnsiTheme="minorHAnsi" w:cstheme="minorHAnsi"/>
                <w:sz w:val="18"/>
                <w:szCs w:val="18"/>
              </w:rPr>
              <w:t>8.5%</w:t>
            </w:r>
          </w:p>
        </w:tc>
        <w:tc>
          <w:tcPr>
            <w:tcW w:w="1371" w:type="dxa"/>
            <w:tcBorders>
              <w:left w:val="single" w:sz="8" w:space="0" w:color="5B9BD5" w:themeColor="accent1"/>
            </w:tcBorders>
            <w:hideMark/>
          </w:tcPr>
          <w:p w:rsidR="00C87F32" w:rsidRPr="00396C98" w:rsidRDefault="00C87F32" w:rsidP="00396C98">
            <w:pPr>
              <w:spacing w:after="0"/>
              <w:jc w:val="center"/>
              <w:rPr>
                <w:rFonts w:asciiTheme="minorHAnsi" w:hAnsiTheme="minorHAnsi" w:cstheme="minorHAnsi"/>
                <w:sz w:val="18"/>
                <w:szCs w:val="18"/>
              </w:rPr>
            </w:pPr>
            <w:r w:rsidRPr="00396C98">
              <w:rPr>
                <w:rFonts w:asciiTheme="minorHAnsi" w:hAnsiTheme="minorHAnsi" w:cstheme="minorHAnsi"/>
                <w:sz w:val="18"/>
                <w:szCs w:val="18"/>
              </w:rPr>
              <w:t>3.1%</w:t>
            </w:r>
          </w:p>
        </w:tc>
        <w:tc>
          <w:tcPr>
            <w:tcW w:w="1371" w:type="dxa"/>
            <w:hideMark/>
          </w:tcPr>
          <w:p w:rsidR="00C87F32" w:rsidRPr="00396C98" w:rsidRDefault="00C87F32" w:rsidP="00396C98">
            <w:pPr>
              <w:spacing w:after="0"/>
              <w:jc w:val="center"/>
              <w:rPr>
                <w:rFonts w:asciiTheme="minorHAnsi" w:hAnsiTheme="minorHAnsi" w:cstheme="minorHAnsi"/>
                <w:sz w:val="18"/>
                <w:szCs w:val="18"/>
              </w:rPr>
            </w:pPr>
            <w:r w:rsidRPr="00396C98">
              <w:rPr>
                <w:rFonts w:asciiTheme="minorHAnsi" w:hAnsiTheme="minorHAnsi" w:cstheme="minorHAnsi"/>
                <w:sz w:val="18"/>
                <w:szCs w:val="18"/>
              </w:rPr>
              <w:t>5.1%</w:t>
            </w:r>
          </w:p>
        </w:tc>
        <w:tc>
          <w:tcPr>
            <w:tcW w:w="1372" w:type="dxa"/>
            <w:hideMark/>
          </w:tcPr>
          <w:p w:rsidR="00C87F32" w:rsidRPr="00396C98" w:rsidRDefault="00C87F32" w:rsidP="00396C98">
            <w:pPr>
              <w:spacing w:after="0"/>
              <w:jc w:val="center"/>
              <w:rPr>
                <w:rFonts w:asciiTheme="minorHAnsi" w:hAnsiTheme="minorHAnsi" w:cstheme="minorHAnsi"/>
                <w:sz w:val="18"/>
                <w:szCs w:val="18"/>
              </w:rPr>
            </w:pPr>
            <w:r w:rsidRPr="00396C98">
              <w:rPr>
                <w:rFonts w:asciiTheme="minorHAnsi" w:hAnsiTheme="minorHAnsi" w:cstheme="minorHAnsi"/>
                <w:sz w:val="18"/>
                <w:szCs w:val="18"/>
              </w:rPr>
              <w:t>8.2%</w:t>
            </w:r>
          </w:p>
        </w:tc>
      </w:tr>
    </w:tbl>
    <w:p w:rsidR="0094422D" w:rsidRDefault="0094422D" w:rsidP="0094422D">
      <w:pPr>
        <w:rPr>
          <w:sz w:val="18"/>
          <w:szCs w:val="18"/>
        </w:rPr>
      </w:pPr>
      <w:r w:rsidRPr="001071FB">
        <w:rPr>
          <w:sz w:val="18"/>
          <w:szCs w:val="18"/>
        </w:rPr>
        <w:t>Source: VISES estimates.</w:t>
      </w:r>
    </w:p>
    <w:p w:rsidR="00987E39" w:rsidRDefault="00E436C6" w:rsidP="0094422D">
      <w:pPr>
        <w:rPr>
          <w:color w:val="000000"/>
        </w:rPr>
      </w:pPr>
      <w:r>
        <w:rPr>
          <w:color w:val="000000"/>
        </w:rPr>
        <w:t>Treated as a separate economy</w:t>
      </w:r>
      <w:r w:rsidR="00BA5658">
        <w:rPr>
          <w:color w:val="000000"/>
        </w:rPr>
        <w:t>,</w:t>
      </w:r>
      <w:r>
        <w:rPr>
          <w:color w:val="000000"/>
        </w:rPr>
        <w:t xml:space="preserve"> these estimates </w:t>
      </w:r>
      <w:r w:rsidR="00E648AD">
        <w:rPr>
          <w:color w:val="000000"/>
        </w:rPr>
        <w:t xml:space="preserve">put Jiangsu </w:t>
      </w:r>
      <w:r w:rsidR="00987E39" w:rsidRPr="003C0085">
        <w:rPr>
          <w:color w:val="000000"/>
        </w:rPr>
        <w:t>below average</w:t>
      </w:r>
      <w:r w:rsidR="00987E39">
        <w:rPr>
          <w:color w:val="000000"/>
        </w:rPr>
        <w:t xml:space="preserve"> for this group of </w:t>
      </w:r>
      <w:r w:rsidR="00A34C96">
        <w:rPr>
          <w:color w:val="000000"/>
        </w:rPr>
        <w:t xml:space="preserve">nine </w:t>
      </w:r>
      <w:r w:rsidR="00987E39">
        <w:rPr>
          <w:color w:val="000000"/>
        </w:rPr>
        <w:t>countries</w:t>
      </w:r>
      <w:r w:rsidR="00645804">
        <w:rPr>
          <w:color w:val="000000"/>
        </w:rPr>
        <w:t>,</w:t>
      </w:r>
      <w:r w:rsidR="00987E39">
        <w:rPr>
          <w:color w:val="000000"/>
        </w:rPr>
        <w:t xml:space="preserve"> that includes some South East </w:t>
      </w:r>
      <w:r w:rsidR="00645804">
        <w:rPr>
          <w:color w:val="000000"/>
        </w:rPr>
        <w:t>Asian</w:t>
      </w:r>
      <w:r w:rsidR="00396C98">
        <w:rPr>
          <w:color w:val="000000"/>
        </w:rPr>
        <w:t xml:space="preserve"> and </w:t>
      </w:r>
      <w:r w:rsidR="00F45EEB">
        <w:rPr>
          <w:color w:val="000000"/>
        </w:rPr>
        <w:t>South America</w:t>
      </w:r>
      <w:r w:rsidR="00F7061B">
        <w:rPr>
          <w:color w:val="000000"/>
        </w:rPr>
        <w:t>n</w:t>
      </w:r>
      <w:r w:rsidR="00645804">
        <w:rPr>
          <w:color w:val="000000"/>
        </w:rPr>
        <w:t xml:space="preserve"> </w:t>
      </w:r>
      <w:r w:rsidR="00987E39">
        <w:rPr>
          <w:color w:val="000000"/>
        </w:rPr>
        <w:t>peers</w:t>
      </w:r>
      <w:r w:rsidR="00645804">
        <w:rPr>
          <w:color w:val="000000"/>
        </w:rPr>
        <w:t>,</w:t>
      </w:r>
      <w:r w:rsidR="00987E39">
        <w:rPr>
          <w:color w:val="000000"/>
        </w:rPr>
        <w:t xml:space="preserve"> as well as some upper income </w:t>
      </w:r>
      <w:r w:rsidR="00F7061B">
        <w:rPr>
          <w:color w:val="000000"/>
        </w:rPr>
        <w:t xml:space="preserve">(and demographically mature) </w:t>
      </w:r>
      <w:r w:rsidR="00987E39">
        <w:rPr>
          <w:color w:val="000000"/>
        </w:rPr>
        <w:t>developed countries from other parts of the world</w:t>
      </w:r>
      <w:r w:rsidR="00F7061B">
        <w:rPr>
          <w:color w:val="000000"/>
        </w:rPr>
        <w:t>.</w:t>
      </w:r>
      <w:r w:rsidR="00A16A21">
        <w:rPr>
          <w:color w:val="000000"/>
        </w:rPr>
        <w:t xml:space="preserve"> This is </w:t>
      </w:r>
      <w:r w:rsidR="00396C98">
        <w:rPr>
          <w:color w:val="000000"/>
        </w:rPr>
        <w:t>fractionally</w:t>
      </w:r>
      <w:r w:rsidR="00A16A21">
        <w:rPr>
          <w:color w:val="000000"/>
        </w:rPr>
        <w:t xml:space="preserve"> lower than for China nationally which is 5.</w:t>
      </w:r>
      <w:r w:rsidR="007E33DA">
        <w:rPr>
          <w:color w:val="000000"/>
        </w:rPr>
        <w:t>4</w:t>
      </w:r>
      <w:r w:rsidR="00A16A21">
        <w:rPr>
          <w:color w:val="000000"/>
        </w:rPr>
        <w:t>% for 2015 and 6.5% for 2030. The composition on the other hand is different. The impact of early retirement is higher while absenteeism and presentism is lower. The increase</w:t>
      </w:r>
      <w:r w:rsidR="00D16983">
        <w:rPr>
          <w:color w:val="000000"/>
        </w:rPr>
        <w:t xml:space="preserve"> as a per</w:t>
      </w:r>
      <w:r w:rsidR="00BC5E42">
        <w:rPr>
          <w:color w:val="000000"/>
        </w:rPr>
        <w:t>centage of</w:t>
      </w:r>
      <w:r w:rsidR="00A16A21">
        <w:rPr>
          <w:color w:val="000000"/>
        </w:rPr>
        <w:t xml:space="preserve"> GDP is the</w:t>
      </w:r>
      <w:r w:rsidR="00C87F32">
        <w:rPr>
          <w:color w:val="000000"/>
        </w:rPr>
        <w:t xml:space="preserve"> one of the</w:t>
      </w:r>
      <w:r w:rsidR="00A16A21">
        <w:rPr>
          <w:color w:val="000000"/>
        </w:rPr>
        <w:t xml:space="preserve"> largest for this group of countries.</w:t>
      </w:r>
      <w:r w:rsidR="00CC2911">
        <w:rPr>
          <w:color w:val="000000"/>
        </w:rPr>
        <w:t xml:space="preserve"> </w:t>
      </w:r>
      <w:r w:rsidR="00B11DBC">
        <w:rPr>
          <w:color w:val="000000"/>
        </w:rPr>
        <w:t xml:space="preserve">Figure </w:t>
      </w:r>
      <w:r w:rsidR="00CC2911">
        <w:rPr>
          <w:color w:val="000000"/>
        </w:rPr>
        <w:t>ES1 shows that th</w:t>
      </w:r>
      <w:r w:rsidR="00F7061B">
        <w:rPr>
          <w:color w:val="000000"/>
        </w:rPr>
        <w:t>e</w:t>
      </w:r>
      <w:r w:rsidR="00CC2911">
        <w:rPr>
          <w:color w:val="000000"/>
        </w:rPr>
        <w:t xml:space="preserve"> estimated </w:t>
      </w:r>
      <w:r w:rsidR="00CC2911" w:rsidRPr="003C0085">
        <w:rPr>
          <w:color w:val="000000"/>
        </w:rPr>
        <w:t>increase between 2015 and 2030</w:t>
      </w:r>
      <w:r w:rsidR="00A16A21">
        <w:rPr>
          <w:color w:val="000000"/>
        </w:rPr>
        <w:t>.</w:t>
      </w:r>
    </w:p>
    <w:p w:rsidR="007105D9" w:rsidRDefault="007105D9" w:rsidP="0094422D">
      <w:pPr>
        <w:rPr>
          <w:color w:val="000000"/>
        </w:rPr>
      </w:pPr>
    </w:p>
    <w:p w:rsidR="0094422D" w:rsidRDefault="00CC2911" w:rsidP="00396C98">
      <w:pPr>
        <w:keepNext/>
        <w:spacing w:after="0"/>
        <w:rPr>
          <w:b/>
          <w:sz w:val="20"/>
          <w:szCs w:val="20"/>
        </w:rPr>
      </w:pPr>
      <w:r>
        <w:rPr>
          <w:b/>
          <w:sz w:val="20"/>
          <w:szCs w:val="20"/>
        </w:rPr>
        <w:lastRenderedPageBreak/>
        <w:t>Fig</w:t>
      </w:r>
      <w:r w:rsidR="00B11DBC">
        <w:rPr>
          <w:b/>
          <w:sz w:val="20"/>
          <w:szCs w:val="20"/>
        </w:rPr>
        <w:t>ure</w:t>
      </w:r>
      <w:r>
        <w:rPr>
          <w:b/>
          <w:sz w:val="20"/>
          <w:szCs w:val="20"/>
        </w:rPr>
        <w:t xml:space="preserve"> ES1 </w:t>
      </w:r>
      <w:r w:rsidRPr="00CC2911">
        <w:rPr>
          <w:b/>
          <w:sz w:val="20"/>
          <w:szCs w:val="20"/>
        </w:rPr>
        <w:t xml:space="preserve">Change in % GDP </w:t>
      </w:r>
      <w:r w:rsidR="00B11DBC">
        <w:rPr>
          <w:b/>
          <w:sz w:val="20"/>
          <w:szCs w:val="20"/>
        </w:rPr>
        <w:t>t</w:t>
      </w:r>
      <w:r w:rsidR="00B11DBC" w:rsidRPr="00CC2911">
        <w:rPr>
          <w:b/>
          <w:sz w:val="20"/>
          <w:szCs w:val="20"/>
        </w:rPr>
        <w:t xml:space="preserve">otal </w:t>
      </w:r>
      <w:r w:rsidR="00B11DBC">
        <w:rPr>
          <w:b/>
          <w:sz w:val="20"/>
          <w:szCs w:val="20"/>
        </w:rPr>
        <w:t>a</w:t>
      </w:r>
      <w:r w:rsidR="00B11DBC" w:rsidRPr="00CC2911">
        <w:rPr>
          <w:b/>
          <w:sz w:val="20"/>
          <w:szCs w:val="20"/>
        </w:rPr>
        <w:t xml:space="preserve">bsenteeism </w:t>
      </w:r>
      <w:r w:rsidRPr="00CC2911">
        <w:rPr>
          <w:b/>
          <w:sz w:val="20"/>
          <w:szCs w:val="20"/>
        </w:rPr>
        <w:t xml:space="preserve">+ </w:t>
      </w:r>
      <w:r w:rsidR="00B11DBC">
        <w:rPr>
          <w:b/>
          <w:sz w:val="20"/>
          <w:szCs w:val="20"/>
        </w:rPr>
        <w:t>p</w:t>
      </w:r>
      <w:r w:rsidR="00B11DBC" w:rsidRPr="00CC2911">
        <w:rPr>
          <w:b/>
          <w:sz w:val="20"/>
          <w:szCs w:val="20"/>
        </w:rPr>
        <w:t xml:space="preserve">resenteeism </w:t>
      </w:r>
      <w:r w:rsidRPr="00CC2911">
        <w:rPr>
          <w:b/>
          <w:sz w:val="20"/>
          <w:szCs w:val="20"/>
        </w:rPr>
        <w:t>+ early retirement</w:t>
      </w:r>
      <w:r w:rsidR="00B11DBC">
        <w:rPr>
          <w:b/>
          <w:sz w:val="20"/>
          <w:szCs w:val="20"/>
        </w:rPr>
        <w:t>,</w:t>
      </w:r>
      <w:r w:rsidRPr="00CC2911">
        <w:rPr>
          <w:b/>
          <w:sz w:val="20"/>
          <w:szCs w:val="20"/>
        </w:rPr>
        <w:t xml:space="preserve"> 2015-</w:t>
      </w:r>
      <w:r w:rsidR="00281946">
        <w:rPr>
          <w:b/>
          <w:sz w:val="20"/>
          <w:szCs w:val="20"/>
        </w:rPr>
        <w:t>20</w:t>
      </w:r>
      <w:r w:rsidRPr="00CC2911">
        <w:rPr>
          <w:b/>
          <w:sz w:val="20"/>
          <w:szCs w:val="20"/>
        </w:rPr>
        <w:t>30</w:t>
      </w:r>
    </w:p>
    <w:p w:rsidR="003B65FC" w:rsidRDefault="00E436C6" w:rsidP="00281946">
      <w:pPr>
        <w:spacing w:after="0"/>
        <w:rPr>
          <w:color w:val="000000"/>
        </w:rPr>
      </w:pPr>
      <w:r w:rsidRPr="00396C98">
        <w:rPr>
          <w:noProof/>
          <w:sz w:val="18"/>
          <w:szCs w:val="18"/>
          <w:lang w:eastAsia="en-AU"/>
        </w:rPr>
        <w:drawing>
          <wp:inline distT="0" distB="0" distL="0" distR="0" wp14:anchorId="4DFE23DC" wp14:editId="29B28A30">
            <wp:extent cx="4972050" cy="3467101"/>
            <wp:effectExtent l="0" t="0" r="0" b="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FB0CF7" w:rsidRDefault="00FB0CF7" w:rsidP="00FB0CF7">
      <w:pPr>
        <w:rPr>
          <w:sz w:val="18"/>
          <w:szCs w:val="18"/>
        </w:rPr>
      </w:pPr>
      <w:r w:rsidRPr="004069CE">
        <w:rPr>
          <w:sz w:val="18"/>
          <w:szCs w:val="18"/>
        </w:rPr>
        <w:t xml:space="preserve">Source: VISES estimates. </w:t>
      </w:r>
    </w:p>
    <w:p w:rsidR="00C50B4A" w:rsidRPr="004069CE" w:rsidRDefault="00C50B4A" w:rsidP="00FB0CF7">
      <w:pPr>
        <w:rPr>
          <w:sz w:val="18"/>
          <w:szCs w:val="18"/>
        </w:rPr>
      </w:pPr>
    </w:p>
    <w:p w:rsidR="00E648AD" w:rsidRDefault="00F7061B" w:rsidP="00B06992">
      <w:pPr>
        <w:rPr>
          <w:color w:val="000000"/>
        </w:rPr>
      </w:pPr>
      <w:r>
        <w:rPr>
          <w:color w:val="000000"/>
        </w:rPr>
        <w:t xml:space="preserve">For countries with above average estimates, </w:t>
      </w:r>
      <w:r w:rsidR="00CB51FA">
        <w:rPr>
          <w:color w:val="000000"/>
        </w:rPr>
        <w:t xml:space="preserve">these figures </w:t>
      </w:r>
      <w:r w:rsidR="0094422D">
        <w:rPr>
          <w:color w:val="000000"/>
        </w:rPr>
        <w:t xml:space="preserve">are driven by </w:t>
      </w:r>
      <w:r w:rsidR="00830967">
        <w:rPr>
          <w:color w:val="000000"/>
        </w:rPr>
        <w:t xml:space="preserve">the </w:t>
      </w:r>
      <w:r>
        <w:rPr>
          <w:color w:val="000000"/>
        </w:rPr>
        <w:t xml:space="preserve">interaction </w:t>
      </w:r>
      <w:r w:rsidR="0094422D">
        <w:rPr>
          <w:color w:val="000000"/>
        </w:rPr>
        <w:t xml:space="preserve">of </w:t>
      </w:r>
      <w:r w:rsidR="00830967">
        <w:rPr>
          <w:color w:val="000000"/>
        </w:rPr>
        <w:t xml:space="preserve">an </w:t>
      </w:r>
      <w:r w:rsidR="0094422D">
        <w:rPr>
          <w:color w:val="000000"/>
        </w:rPr>
        <w:t xml:space="preserve">ageing </w:t>
      </w:r>
      <w:r w:rsidR="00830967">
        <w:rPr>
          <w:color w:val="000000"/>
        </w:rPr>
        <w:t xml:space="preserve">workforce </w:t>
      </w:r>
      <w:r>
        <w:rPr>
          <w:color w:val="000000"/>
        </w:rPr>
        <w:t>and</w:t>
      </w:r>
      <w:r w:rsidR="00830967">
        <w:rPr>
          <w:color w:val="000000"/>
        </w:rPr>
        <w:t xml:space="preserve"> </w:t>
      </w:r>
      <w:r w:rsidR="0094422D">
        <w:rPr>
          <w:color w:val="000000"/>
        </w:rPr>
        <w:t xml:space="preserve">the high burden </w:t>
      </w:r>
      <w:r w:rsidR="00830967">
        <w:rPr>
          <w:color w:val="000000"/>
        </w:rPr>
        <w:t>of</w:t>
      </w:r>
      <w:r w:rsidR="0094422D">
        <w:rPr>
          <w:color w:val="000000"/>
        </w:rPr>
        <w:t xml:space="preserve"> chronic disease</w:t>
      </w:r>
      <w:r w:rsidR="00830967">
        <w:rPr>
          <w:color w:val="000000"/>
        </w:rPr>
        <w:t>,</w:t>
      </w:r>
      <w:r w:rsidR="0094422D">
        <w:rPr>
          <w:color w:val="000000"/>
        </w:rPr>
        <w:t xml:space="preserve"> </w:t>
      </w:r>
      <w:r w:rsidR="00830967">
        <w:rPr>
          <w:color w:val="000000"/>
        </w:rPr>
        <w:t>now prevalent in developing countries</w:t>
      </w:r>
      <w:r w:rsidR="0094422D">
        <w:rPr>
          <w:color w:val="000000"/>
        </w:rPr>
        <w:t>.</w:t>
      </w:r>
      <w:r w:rsidR="0094422D" w:rsidRPr="0094422D">
        <w:rPr>
          <w:color w:val="000000"/>
        </w:rPr>
        <w:t xml:space="preserve"> </w:t>
      </w:r>
      <w:r w:rsidR="00D16983">
        <w:rPr>
          <w:color w:val="000000"/>
        </w:rPr>
        <w:t xml:space="preserve">The significant increase as a percentage of GDP for </w:t>
      </w:r>
      <w:r w:rsidR="00E648AD">
        <w:rPr>
          <w:color w:val="000000"/>
        </w:rPr>
        <w:t>J</w:t>
      </w:r>
      <w:r w:rsidR="003C0085">
        <w:rPr>
          <w:color w:val="000000"/>
        </w:rPr>
        <w:t>i</w:t>
      </w:r>
      <w:r w:rsidR="00E648AD">
        <w:rPr>
          <w:color w:val="000000"/>
        </w:rPr>
        <w:t>angsu</w:t>
      </w:r>
      <w:r w:rsidR="00D16983">
        <w:rPr>
          <w:color w:val="000000"/>
        </w:rPr>
        <w:t xml:space="preserve"> shown in figure ES1</w:t>
      </w:r>
      <w:r>
        <w:rPr>
          <w:color w:val="000000"/>
        </w:rPr>
        <w:t xml:space="preserve"> is </w:t>
      </w:r>
      <w:r w:rsidR="00D16983">
        <w:rPr>
          <w:color w:val="000000"/>
        </w:rPr>
        <w:t>largely due to a rapidly ageing</w:t>
      </w:r>
      <w:r>
        <w:rPr>
          <w:color w:val="000000"/>
        </w:rPr>
        <w:t xml:space="preserve"> population</w:t>
      </w:r>
      <w:r w:rsidR="00D16983">
        <w:rPr>
          <w:color w:val="000000"/>
        </w:rPr>
        <w:t>.</w:t>
      </w:r>
      <w:r w:rsidRPr="003C0085">
        <w:rPr>
          <w:color w:val="000000"/>
        </w:rPr>
        <w:t xml:space="preserve"> </w:t>
      </w:r>
      <w:r w:rsidR="00D16983">
        <w:rPr>
          <w:color w:val="000000"/>
        </w:rPr>
        <w:t xml:space="preserve">The </w:t>
      </w:r>
      <w:r w:rsidR="00D16983" w:rsidRPr="003C0085">
        <w:rPr>
          <w:color w:val="000000"/>
        </w:rPr>
        <w:t>disease burden</w:t>
      </w:r>
      <w:r w:rsidR="00D16983">
        <w:rPr>
          <w:color w:val="000000"/>
        </w:rPr>
        <w:t xml:space="preserve"> is</w:t>
      </w:r>
      <w:r w:rsidR="003C0085">
        <w:rPr>
          <w:color w:val="000000"/>
        </w:rPr>
        <w:t xml:space="preserve"> relatively low</w:t>
      </w:r>
      <w:r w:rsidRPr="003C0085">
        <w:rPr>
          <w:color w:val="000000"/>
        </w:rPr>
        <w:t>.</w:t>
      </w:r>
      <w:r>
        <w:rPr>
          <w:color w:val="000000"/>
        </w:rPr>
        <w:t xml:space="preserve"> </w:t>
      </w:r>
    </w:p>
    <w:p w:rsidR="00B06992" w:rsidRDefault="001562F9" w:rsidP="00B06992">
      <w:r>
        <w:rPr>
          <w:color w:val="000000"/>
        </w:rPr>
        <w:t xml:space="preserve">The proportion of </w:t>
      </w:r>
      <w:r w:rsidR="00E648AD">
        <w:rPr>
          <w:color w:val="000000"/>
        </w:rPr>
        <w:t>Jiang</w:t>
      </w:r>
      <w:r w:rsidR="00C87F32">
        <w:rPr>
          <w:color w:val="000000"/>
        </w:rPr>
        <w:t>s</w:t>
      </w:r>
      <w:r w:rsidR="00E648AD">
        <w:rPr>
          <w:color w:val="000000"/>
        </w:rPr>
        <w:t>u’</w:t>
      </w:r>
      <w:r w:rsidR="00C87F32">
        <w:rPr>
          <w:color w:val="000000"/>
        </w:rPr>
        <w:t>s</w:t>
      </w:r>
      <w:r w:rsidR="00CC2911">
        <w:rPr>
          <w:color w:val="000000"/>
        </w:rPr>
        <w:t xml:space="preserve"> work force</w:t>
      </w:r>
      <w:r w:rsidR="00AC16A7">
        <w:rPr>
          <w:color w:val="000000"/>
        </w:rPr>
        <w:t xml:space="preserve"> </w:t>
      </w:r>
      <w:r w:rsidR="00CC2911">
        <w:rPr>
          <w:color w:val="000000"/>
        </w:rPr>
        <w:t>aged 50-64</w:t>
      </w:r>
      <w:r w:rsidR="00F14E55">
        <w:rPr>
          <w:color w:val="000000"/>
        </w:rPr>
        <w:t xml:space="preserve"> </w:t>
      </w:r>
      <w:r w:rsidR="00F7061B">
        <w:rPr>
          <w:color w:val="000000"/>
        </w:rPr>
        <w:t xml:space="preserve">is </w:t>
      </w:r>
      <w:r w:rsidR="00E648AD">
        <w:rPr>
          <w:color w:val="000000"/>
        </w:rPr>
        <w:t>27</w:t>
      </w:r>
      <w:r w:rsidR="00F7061B">
        <w:rPr>
          <w:color w:val="000000"/>
        </w:rPr>
        <w:t xml:space="preserve">%, </w:t>
      </w:r>
      <w:r w:rsidR="00E648AD">
        <w:rPr>
          <w:color w:val="000000"/>
        </w:rPr>
        <w:t>higher</w:t>
      </w:r>
      <w:r>
        <w:rPr>
          <w:color w:val="000000"/>
        </w:rPr>
        <w:t xml:space="preserve"> </w:t>
      </w:r>
      <w:r w:rsidR="00AC16A7">
        <w:rPr>
          <w:color w:val="000000"/>
        </w:rPr>
        <w:t xml:space="preserve">than average for this group of countries, </w:t>
      </w:r>
      <w:r w:rsidR="00F45EEB">
        <w:rPr>
          <w:color w:val="000000"/>
        </w:rPr>
        <w:t>and</w:t>
      </w:r>
      <w:r>
        <w:rPr>
          <w:color w:val="000000"/>
        </w:rPr>
        <w:t xml:space="preserve"> </w:t>
      </w:r>
      <w:r w:rsidR="00F14E55">
        <w:rPr>
          <w:color w:val="000000"/>
        </w:rPr>
        <w:t>it</w:t>
      </w:r>
      <w:r w:rsidR="00CB51FA">
        <w:rPr>
          <w:color w:val="000000"/>
        </w:rPr>
        <w:t xml:space="preserve"> i</w:t>
      </w:r>
      <w:r w:rsidR="00F14E55">
        <w:rPr>
          <w:color w:val="000000"/>
        </w:rPr>
        <w:t>s</w:t>
      </w:r>
      <w:r w:rsidR="00F14E55" w:rsidRPr="0094422D">
        <w:rPr>
          <w:color w:val="000000"/>
        </w:rPr>
        <w:t xml:space="preserve"> </w:t>
      </w:r>
      <w:r w:rsidR="007E3F65">
        <w:rPr>
          <w:color w:val="000000"/>
        </w:rPr>
        <w:t xml:space="preserve">also </w:t>
      </w:r>
      <w:r w:rsidR="0094422D" w:rsidRPr="0094422D">
        <w:rPr>
          <w:color w:val="000000"/>
        </w:rPr>
        <w:t>ageing</w:t>
      </w:r>
      <w:r w:rsidR="00AC16A7">
        <w:rPr>
          <w:color w:val="000000"/>
        </w:rPr>
        <w:t xml:space="preserve"> </w:t>
      </w:r>
      <w:r>
        <w:rPr>
          <w:color w:val="000000"/>
        </w:rPr>
        <w:t>more</w:t>
      </w:r>
      <w:r w:rsidR="00F45EEB">
        <w:rPr>
          <w:color w:val="000000"/>
        </w:rPr>
        <w:t xml:space="preserve"> </w:t>
      </w:r>
      <w:r w:rsidR="00E648AD">
        <w:rPr>
          <w:color w:val="000000"/>
        </w:rPr>
        <w:t>quickly</w:t>
      </w:r>
      <w:r w:rsidR="00AC16A7">
        <w:rPr>
          <w:color w:val="000000"/>
        </w:rPr>
        <w:t xml:space="preserve"> </w:t>
      </w:r>
      <w:r>
        <w:rPr>
          <w:color w:val="000000"/>
        </w:rPr>
        <w:t>than average</w:t>
      </w:r>
      <w:r w:rsidR="00F45EEB">
        <w:rPr>
          <w:color w:val="000000"/>
        </w:rPr>
        <w:t xml:space="preserve">. </w:t>
      </w:r>
      <w:r w:rsidR="00BA5658">
        <w:rPr>
          <w:color w:val="000000"/>
        </w:rPr>
        <w:t>A</w:t>
      </w:r>
      <w:r w:rsidR="00BA5658">
        <w:t>s its population ages and they move into age groups with higher levels of chronic disease,</w:t>
      </w:r>
      <w:r w:rsidR="00BA5658">
        <w:rPr>
          <w:color w:val="000000"/>
        </w:rPr>
        <w:t xml:space="preserve"> t</w:t>
      </w:r>
      <w:r>
        <w:rPr>
          <w:color w:val="000000"/>
        </w:rPr>
        <w:t>he proportion of its workforce aged 50-64</w:t>
      </w:r>
      <w:r w:rsidR="005655C3">
        <w:rPr>
          <w:color w:val="000000"/>
        </w:rPr>
        <w:t xml:space="preserve"> years</w:t>
      </w:r>
      <w:r>
        <w:rPr>
          <w:color w:val="000000"/>
        </w:rPr>
        <w:t xml:space="preserve"> is projected by </w:t>
      </w:r>
      <w:r w:rsidR="00E648AD">
        <w:rPr>
          <w:color w:val="000000"/>
        </w:rPr>
        <w:t>VISES to</w:t>
      </w:r>
      <w:r>
        <w:rPr>
          <w:color w:val="000000"/>
        </w:rPr>
        <w:t xml:space="preserve"> increase to </w:t>
      </w:r>
      <w:r w:rsidR="00E648AD">
        <w:rPr>
          <w:color w:val="000000"/>
        </w:rPr>
        <w:t>35.6</w:t>
      </w:r>
      <w:r>
        <w:rPr>
          <w:color w:val="000000"/>
        </w:rPr>
        <w:t>% by 2030</w:t>
      </w:r>
      <w:r w:rsidR="007629FC">
        <w:rPr>
          <w:color w:val="000000"/>
        </w:rPr>
        <w:t>,</w:t>
      </w:r>
      <w:r>
        <w:rPr>
          <w:color w:val="000000"/>
        </w:rPr>
        <w:t xml:space="preserve"> an increase of </w:t>
      </w:r>
      <w:r w:rsidR="00E648AD">
        <w:rPr>
          <w:color w:val="000000"/>
        </w:rPr>
        <w:t>8</w:t>
      </w:r>
      <w:r w:rsidR="00197987">
        <w:rPr>
          <w:color w:val="000000"/>
        </w:rPr>
        <w:t>.3</w:t>
      </w:r>
      <w:r>
        <w:rPr>
          <w:color w:val="000000"/>
        </w:rPr>
        <w:t xml:space="preserve"> percentage points compared with increases of </w:t>
      </w:r>
      <w:r w:rsidR="00197987">
        <w:rPr>
          <w:color w:val="000000"/>
        </w:rPr>
        <w:t>6.3</w:t>
      </w:r>
      <w:r w:rsidR="00135918">
        <w:rPr>
          <w:color w:val="000000"/>
        </w:rPr>
        <w:t xml:space="preserve"> </w:t>
      </w:r>
      <w:r>
        <w:rPr>
          <w:color w:val="000000"/>
        </w:rPr>
        <w:t xml:space="preserve">percentage points and </w:t>
      </w:r>
      <w:r w:rsidR="00197987">
        <w:rPr>
          <w:color w:val="000000"/>
        </w:rPr>
        <w:t>5.3</w:t>
      </w:r>
      <w:r w:rsidR="00135918">
        <w:rPr>
          <w:color w:val="000000"/>
        </w:rPr>
        <w:t xml:space="preserve"> percentage points for </w:t>
      </w:r>
      <w:r w:rsidR="007E3F65">
        <w:rPr>
          <w:color w:val="000000"/>
        </w:rPr>
        <w:t xml:space="preserve">China and </w:t>
      </w:r>
      <w:r w:rsidR="00197987">
        <w:rPr>
          <w:color w:val="000000"/>
        </w:rPr>
        <w:t>Japan</w:t>
      </w:r>
      <w:r w:rsidR="00CB51FA">
        <w:rPr>
          <w:color w:val="000000"/>
        </w:rPr>
        <w:t>,</w:t>
      </w:r>
      <w:r w:rsidR="00135918">
        <w:rPr>
          <w:color w:val="000000"/>
        </w:rPr>
        <w:t xml:space="preserve"> respectively </w:t>
      </w:r>
      <w:r w:rsidR="00BA5D7A">
        <w:t>(see Fig</w:t>
      </w:r>
      <w:r w:rsidR="00CB51FA">
        <w:t>ure</w:t>
      </w:r>
      <w:r w:rsidR="00BA5D7A">
        <w:t xml:space="preserve"> </w:t>
      </w:r>
      <w:r w:rsidR="008F4996">
        <w:t>5</w:t>
      </w:r>
      <w:r w:rsidR="00BA5D7A">
        <w:t>)</w:t>
      </w:r>
      <w:r w:rsidR="00D16983">
        <w:t>.</w:t>
      </w:r>
    </w:p>
    <w:p w:rsidR="007105D9" w:rsidRDefault="007105D9" w:rsidP="00B06992">
      <w:pPr>
        <w:pStyle w:val="Heading2"/>
      </w:pPr>
    </w:p>
    <w:p w:rsidR="007105D9" w:rsidRDefault="007105D9" w:rsidP="00B06992">
      <w:pPr>
        <w:pStyle w:val="Heading2"/>
      </w:pPr>
    </w:p>
    <w:p w:rsidR="007105D9" w:rsidRDefault="007105D9" w:rsidP="00B06992">
      <w:pPr>
        <w:pStyle w:val="Heading2"/>
      </w:pPr>
    </w:p>
    <w:p w:rsidR="007105D9" w:rsidRPr="007105D9" w:rsidRDefault="007105D9" w:rsidP="007105D9"/>
    <w:p w:rsidR="009A16BC" w:rsidRPr="00373D36" w:rsidRDefault="009A16BC" w:rsidP="00B06992">
      <w:pPr>
        <w:pStyle w:val="Heading2"/>
      </w:pPr>
      <w:r>
        <w:lastRenderedPageBreak/>
        <w:t>C</w:t>
      </w:r>
      <w:r w:rsidRPr="00373D36">
        <w:t>ontext of the Study</w:t>
      </w:r>
      <w:bookmarkEnd w:id="0"/>
    </w:p>
    <w:p w:rsidR="009A16BC" w:rsidRDefault="009A16BC" w:rsidP="001071FB">
      <w:pPr>
        <w:spacing w:after="120"/>
      </w:pPr>
      <w:r w:rsidRPr="0087243E">
        <w:t>In spite of very different circumstances, most countries face three challenges in common:</w:t>
      </w:r>
      <w:r w:rsidRPr="00A459ED">
        <w:t xml:space="preserve"> </w:t>
      </w:r>
    </w:p>
    <w:p w:rsidR="009A16BC" w:rsidRPr="00A459ED" w:rsidRDefault="009A16BC" w:rsidP="009A16BC">
      <w:pPr>
        <w:pStyle w:val="ListParagraph"/>
        <w:numPr>
          <w:ilvl w:val="0"/>
          <w:numId w:val="1"/>
        </w:numPr>
        <w:spacing w:after="0"/>
        <w:rPr>
          <w:color w:val="000000"/>
        </w:rPr>
      </w:pPr>
      <w:r w:rsidRPr="00A459ED">
        <w:t xml:space="preserve">their populations are ageing, in different ways and to different degrees; </w:t>
      </w:r>
    </w:p>
    <w:p w:rsidR="009A16BC" w:rsidRPr="00A459ED" w:rsidRDefault="009A16BC" w:rsidP="009A16BC">
      <w:pPr>
        <w:pStyle w:val="ListParagraph"/>
        <w:numPr>
          <w:ilvl w:val="0"/>
          <w:numId w:val="1"/>
        </w:numPr>
        <w:spacing w:after="0"/>
        <w:rPr>
          <w:color w:val="000000"/>
        </w:rPr>
      </w:pPr>
      <w:r w:rsidRPr="00A459ED">
        <w:t>there is an existing high prevalence of non-communicable diseases (NCDs)</w:t>
      </w:r>
      <w:r w:rsidR="00B06992">
        <w:t>,</w:t>
      </w:r>
      <w:r w:rsidRPr="00A459ED">
        <w:t xml:space="preserve"> such as heart and respiratory disease, stroke, cancer and mental illness</w:t>
      </w:r>
      <w:r w:rsidR="00B06992">
        <w:t>,</w:t>
      </w:r>
      <w:r w:rsidR="00B06992" w:rsidRPr="00B06992">
        <w:t xml:space="preserve"> </w:t>
      </w:r>
      <w:r w:rsidR="00B06992">
        <w:t>particularly for older age groups</w:t>
      </w:r>
      <w:r w:rsidRPr="00A459ED">
        <w:t xml:space="preserve">; and </w:t>
      </w:r>
    </w:p>
    <w:p w:rsidR="009A16BC" w:rsidRPr="008A01A3" w:rsidRDefault="009A16BC" w:rsidP="009A16BC">
      <w:pPr>
        <w:pStyle w:val="ListParagraph"/>
        <w:numPr>
          <w:ilvl w:val="0"/>
          <w:numId w:val="1"/>
        </w:numPr>
        <w:spacing w:after="0"/>
        <w:rPr>
          <w:color w:val="000000"/>
        </w:rPr>
      </w:pPr>
      <w:proofErr w:type="gramStart"/>
      <w:r w:rsidRPr="00A459ED">
        <w:t>many</w:t>
      </w:r>
      <w:proofErr w:type="gramEnd"/>
      <w:r w:rsidRPr="00A459ED">
        <w:t xml:space="preserve"> risk factors for the future incidence of NCDs are high, and in some cases continuing to rise. </w:t>
      </w:r>
    </w:p>
    <w:p w:rsidR="009A16BC" w:rsidRPr="00A459ED" w:rsidRDefault="009A16BC" w:rsidP="009A16BC">
      <w:pPr>
        <w:pStyle w:val="ListParagraph"/>
        <w:spacing w:after="0"/>
        <w:rPr>
          <w:color w:val="000000"/>
        </w:rPr>
      </w:pPr>
    </w:p>
    <w:p w:rsidR="009A16BC" w:rsidRDefault="009A16BC" w:rsidP="009A16BC">
      <w:pPr>
        <w:rPr>
          <w:color w:val="000000"/>
        </w:rPr>
      </w:pPr>
      <w:r w:rsidRPr="00A459ED">
        <w:rPr>
          <w:color w:val="000000"/>
        </w:rPr>
        <w:t>Taken together</w:t>
      </w:r>
      <w:r w:rsidR="00F14E55">
        <w:rPr>
          <w:color w:val="000000"/>
        </w:rPr>
        <w:t>,</w:t>
      </w:r>
      <w:r w:rsidRPr="00A459ED">
        <w:rPr>
          <w:color w:val="000000"/>
        </w:rPr>
        <w:t xml:space="preserve"> these factors already impose heavy costs on business, governments and individuals, and threaten much greater costs in the future. </w:t>
      </w:r>
      <w:r>
        <w:rPr>
          <w:color w:val="000000"/>
        </w:rPr>
        <w:t>The economic costs arise largely because</w:t>
      </w:r>
      <w:r w:rsidR="00CB51FA">
        <w:rPr>
          <w:color w:val="000000"/>
        </w:rPr>
        <w:t>,</w:t>
      </w:r>
      <w:r>
        <w:rPr>
          <w:color w:val="000000"/>
        </w:rPr>
        <w:t xml:space="preserve"> due to ill health</w:t>
      </w:r>
      <w:r w:rsidR="006D4283">
        <w:rPr>
          <w:color w:val="000000"/>
        </w:rPr>
        <w:t>,</w:t>
      </w:r>
      <w:r>
        <w:rPr>
          <w:color w:val="000000"/>
        </w:rPr>
        <w:t xml:space="preserve"> people aren’t able to work as much as they would like. The</w:t>
      </w:r>
      <w:r w:rsidR="00F14E55">
        <w:rPr>
          <w:color w:val="000000"/>
        </w:rPr>
        <w:t>y</w:t>
      </w:r>
      <w:r>
        <w:rPr>
          <w:color w:val="000000"/>
        </w:rPr>
        <w:t xml:space="preserve"> may either be sick and absent from work (absenteeism), present at work but not working at full capacity due to illness (presenteeism)</w:t>
      </w:r>
      <w:r w:rsidR="006D4283">
        <w:rPr>
          <w:color w:val="000000"/>
        </w:rPr>
        <w:t>,</w:t>
      </w:r>
      <w:r w:rsidR="005D0C55">
        <w:rPr>
          <w:color w:val="000000"/>
        </w:rPr>
        <w:t xml:space="preserve"> or retired prematurely, say from aged 50-64</w:t>
      </w:r>
      <w:r w:rsidR="005655C3">
        <w:rPr>
          <w:color w:val="000000"/>
        </w:rPr>
        <w:t xml:space="preserve"> years</w:t>
      </w:r>
      <w:r w:rsidR="005D0C55">
        <w:rPr>
          <w:color w:val="000000"/>
        </w:rPr>
        <w:t xml:space="preserve"> due to ill health (early retirement due to ill health). The economic costs</w:t>
      </w:r>
      <w:r w:rsidR="000138B3">
        <w:rPr>
          <w:color w:val="000000"/>
        </w:rPr>
        <w:t xml:space="preserve"> on productivity</w:t>
      </w:r>
      <w:r w:rsidR="005D0C55">
        <w:rPr>
          <w:color w:val="000000"/>
        </w:rPr>
        <w:t xml:space="preserve"> imposed by each of these groups has been modelled and included in this report. There are </w:t>
      </w:r>
      <w:r w:rsidR="00F14E55">
        <w:rPr>
          <w:color w:val="000000"/>
        </w:rPr>
        <w:t xml:space="preserve">also </w:t>
      </w:r>
      <w:r w:rsidR="005D0C55">
        <w:rPr>
          <w:color w:val="000000"/>
        </w:rPr>
        <w:t xml:space="preserve">others who may not work at any time due </w:t>
      </w:r>
      <w:r w:rsidR="00F14E55">
        <w:rPr>
          <w:color w:val="000000"/>
        </w:rPr>
        <w:t xml:space="preserve">to </w:t>
      </w:r>
      <w:r w:rsidR="005D0C55">
        <w:rPr>
          <w:color w:val="000000"/>
        </w:rPr>
        <w:t>an incapacity</w:t>
      </w:r>
      <w:r w:rsidR="006D4283">
        <w:rPr>
          <w:color w:val="000000"/>
        </w:rPr>
        <w:t xml:space="preserve"> and/</w:t>
      </w:r>
      <w:r w:rsidR="005D0C55">
        <w:rPr>
          <w:color w:val="000000"/>
        </w:rPr>
        <w:t>or health condition which has been present for most of their lives. This group is not explicitly covered in this report.</w:t>
      </w:r>
    </w:p>
    <w:p w:rsidR="009A16BC" w:rsidRDefault="00B06992" w:rsidP="001071FB">
      <w:pPr>
        <w:spacing w:after="120"/>
        <w:rPr>
          <w:color w:val="000000"/>
        </w:rPr>
      </w:pPr>
      <w:r>
        <w:rPr>
          <w:color w:val="000000"/>
        </w:rPr>
        <w:t xml:space="preserve">Following an initial report </w:t>
      </w:r>
      <w:r w:rsidRPr="00A459ED">
        <w:rPr>
          <w:color w:val="000000"/>
        </w:rPr>
        <w:t xml:space="preserve">for </w:t>
      </w:r>
      <w:r w:rsidRPr="00A459ED">
        <w:rPr>
          <w:rFonts w:cs="Calibri"/>
          <w:color w:val="000000" w:themeColor="text1"/>
          <w:szCs w:val="22"/>
        </w:rPr>
        <w:t>the APEC Business Advisory Council (ABAC) and the Life Science</w:t>
      </w:r>
      <w:r w:rsidR="00FE36BF">
        <w:rPr>
          <w:rFonts w:cs="Calibri"/>
          <w:color w:val="000000" w:themeColor="text1"/>
          <w:szCs w:val="22"/>
        </w:rPr>
        <w:t>s</w:t>
      </w:r>
      <w:r w:rsidRPr="00A459ED">
        <w:rPr>
          <w:rFonts w:cs="Calibri"/>
          <w:color w:val="000000" w:themeColor="text1"/>
          <w:szCs w:val="22"/>
        </w:rPr>
        <w:t xml:space="preserve"> </w:t>
      </w:r>
      <w:r w:rsidR="00FE36BF">
        <w:rPr>
          <w:rFonts w:cs="Calibri"/>
          <w:color w:val="000000" w:themeColor="text1"/>
          <w:szCs w:val="22"/>
        </w:rPr>
        <w:t>Innovation</w:t>
      </w:r>
      <w:r w:rsidRPr="00A459ED">
        <w:rPr>
          <w:rFonts w:cs="Calibri"/>
          <w:color w:val="000000" w:themeColor="text1"/>
          <w:szCs w:val="22"/>
        </w:rPr>
        <w:t xml:space="preserve"> Forum (LSIF) </w:t>
      </w:r>
      <w:r>
        <w:rPr>
          <w:rFonts w:cs="Calibri"/>
          <w:color w:val="000000" w:themeColor="text1"/>
          <w:szCs w:val="22"/>
        </w:rPr>
        <w:t>in 2014</w:t>
      </w:r>
      <w:r w:rsidR="00FE36BF">
        <w:rPr>
          <w:rFonts w:cs="Calibri"/>
          <w:color w:val="000000" w:themeColor="text1"/>
          <w:szCs w:val="22"/>
        </w:rPr>
        <w:t>,</w:t>
      </w:r>
      <w:r>
        <w:rPr>
          <w:rFonts w:cs="Calibri"/>
          <w:color w:val="000000" w:themeColor="text1"/>
          <w:szCs w:val="22"/>
        </w:rPr>
        <w:t xml:space="preserve"> </w:t>
      </w:r>
      <w:r w:rsidR="009A16BC">
        <w:rPr>
          <w:color w:val="000000"/>
        </w:rPr>
        <w:t xml:space="preserve">VISES has prepared </w:t>
      </w:r>
      <w:r w:rsidR="00FE36BF">
        <w:rPr>
          <w:color w:val="000000"/>
        </w:rPr>
        <w:t>four</w:t>
      </w:r>
      <w:r w:rsidR="009A16BC">
        <w:rPr>
          <w:color w:val="000000"/>
        </w:rPr>
        <w:t xml:space="preserve"> reports</w:t>
      </w:r>
      <w:r w:rsidR="00FE36BF">
        <w:rPr>
          <w:color w:val="000000"/>
        </w:rPr>
        <w:t>,</w:t>
      </w:r>
      <w:r w:rsidR="009A16BC">
        <w:rPr>
          <w:color w:val="000000"/>
        </w:rPr>
        <w:t xml:space="preserve"> </w:t>
      </w:r>
      <w:r w:rsidR="00FE36BF">
        <w:rPr>
          <w:lang w:eastAsia="en-AU"/>
        </w:rPr>
        <w:t xml:space="preserve">Sheehan et al. (2014), </w:t>
      </w:r>
      <w:r w:rsidR="00FE36BF">
        <w:rPr>
          <w:color w:val="000000"/>
        </w:rPr>
        <w:t xml:space="preserve">Sweeny et al. (2014) and </w:t>
      </w:r>
      <w:r w:rsidR="00FE36BF">
        <w:rPr>
          <w:lang w:eastAsia="en-AU"/>
        </w:rPr>
        <w:t>Rasmussen et al. (2015a, 2015b)</w:t>
      </w:r>
      <w:r w:rsidR="00F14E55">
        <w:rPr>
          <w:lang w:eastAsia="en-AU"/>
        </w:rPr>
        <w:t>,</w:t>
      </w:r>
      <w:r w:rsidR="00FE36BF" w:rsidRPr="00A459ED">
        <w:rPr>
          <w:color w:val="000000"/>
        </w:rPr>
        <w:t xml:space="preserve"> </w:t>
      </w:r>
      <w:r w:rsidR="009A16BC">
        <w:rPr>
          <w:color w:val="000000"/>
        </w:rPr>
        <w:t xml:space="preserve">now covering </w:t>
      </w:r>
      <w:r>
        <w:rPr>
          <w:color w:val="000000"/>
        </w:rPr>
        <w:t>eighteen</w:t>
      </w:r>
      <w:r w:rsidR="009A16BC">
        <w:rPr>
          <w:color w:val="000000"/>
        </w:rPr>
        <w:t xml:space="preserve"> countries on three aspects of these economic costs</w:t>
      </w:r>
      <w:r w:rsidR="00210D42">
        <w:rPr>
          <w:color w:val="000000"/>
        </w:rPr>
        <w:t xml:space="preserve"> mentioned above:</w:t>
      </w:r>
      <w:r w:rsidR="009A16BC">
        <w:rPr>
          <w:color w:val="000000"/>
        </w:rPr>
        <w:t xml:space="preserve"> </w:t>
      </w:r>
    </w:p>
    <w:p w:rsidR="009A16BC" w:rsidRDefault="009A16BC" w:rsidP="009A16BC">
      <w:pPr>
        <w:pStyle w:val="ListParagraph"/>
        <w:numPr>
          <w:ilvl w:val="0"/>
          <w:numId w:val="2"/>
        </w:numPr>
        <w:rPr>
          <w:color w:val="000000"/>
        </w:rPr>
      </w:pPr>
      <w:r>
        <w:rPr>
          <w:color w:val="000000"/>
        </w:rPr>
        <w:t>absenteei</w:t>
      </w:r>
      <w:r w:rsidR="005D0C55">
        <w:rPr>
          <w:color w:val="000000"/>
        </w:rPr>
        <w:t>sm</w:t>
      </w:r>
      <w:r w:rsidR="006D4283">
        <w:rPr>
          <w:color w:val="000000"/>
        </w:rPr>
        <w:t>;</w:t>
      </w:r>
    </w:p>
    <w:p w:rsidR="005D0C55" w:rsidRDefault="005D0C55" w:rsidP="009A16BC">
      <w:pPr>
        <w:pStyle w:val="ListParagraph"/>
        <w:numPr>
          <w:ilvl w:val="0"/>
          <w:numId w:val="2"/>
        </w:numPr>
        <w:rPr>
          <w:color w:val="000000"/>
        </w:rPr>
      </w:pPr>
      <w:r>
        <w:rPr>
          <w:color w:val="000000"/>
        </w:rPr>
        <w:t>presenteeism</w:t>
      </w:r>
      <w:r w:rsidR="006D4283">
        <w:rPr>
          <w:color w:val="000000"/>
        </w:rPr>
        <w:t>; and</w:t>
      </w:r>
    </w:p>
    <w:p w:rsidR="005D0C55" w:rsidRPr="009A16BC" w:rsidRDefault="005D0C55" w:rsidP="009A16BC">
      <w:pPr>
        <w:pStyle w:val="ListParagraph"/>
        <w:numPr>
          <w:ilvl w:val="0"/>
          <w:numId w:val="2"/>
        </w:numPr>
        <w:rPr>
          <w:color w:val="000000"/>
        </w:rPr>
      </w:pPr>
      <w:proofErr w:type="gramStart"/>
      <w:r>
        <w:rPr>
          <w:color w:val="000000"/>
        </w:rPr>
        <w:t>early</w:t>
      </w:r>
      <w:proofErr w:type="gramEnd"/>
      <w:r>
        <w:rPr>
          <w:color w:val="000000"/>
        </w:rPr>
        <w:t xml:space="preserve"> retirement due to ill health</w:t>
      </w:r>
      <w:r w:rsidR="006D4283">
        <w:rPr>
          <w:color w:val="000000"/>
        </w:rPr>
        <w:t>.</w:t>
      </w:r>
    </w:p>
    <w:p w:rsidR="009A16BC" w:rsidRDefault="009A16BC" w:rsidP="009A16BC">
      <w:pPr>
        <w:rPr>
          <w:color w:val="000000"/>
        </w:rPr>
      </w:pPr>
      <w:r w:rsidRPr="00A459ED">
        <w:rPr>
          <w:color w:val="000000"/>
        </w:rPr>
        <w:t xml:space="preserve">This </w:t>
      </w:r>
      <w:r w:rsidR="00FE36BF">
        <w:rPr>
          <w:color w:val="000000"/>
        </w:rPr>
        <w:t xml:space="preserve">summary </w:t>
      </w:r>
      <w:r w:rsidR="00006226">
        <w:rPr>
          <w:color w:val="000000"/>
        </w:rPr>
        <w:t>report draws on these earlier reports with a focus on</w:t>
      </w:r>
      <w:r w:rsidR="00FA6433">
        <w:rPr>
          <w:color w:val="000000"/>
        </w:rPr>
        <w:t xml:space="preserve"> </w:t>
      </w:r>
      <w:r w:rsidR="00EB4CC2">
        <w:rPr>
          <w:color w:val="000000"/>
        </w:rPr>
        <w:t>Jiangsu</w:t>
      </w:r>
      <w:r w:rsidR="007629FC">
        <w:rPr>
          <w:color w:val="000000"/>
        </w:rPr>
        <w:t xml:space="preserve"> together</w:t>
      </w:r>
      <w:r w:rsidR="00FE36BF">
        <w:rPr>
          <w:color w:val="000000"/>
        </w:rPr>
        <w:t xml:space="preserve"> with </w:t>
      </w:r>
      <w:r w:rsidR="00232158">
        <w:rPr>
          <w:color w:val="000000"/>
        </w:rPr>
        <w:t>nine</w:t>
      </w:r>
      <w:r w:rsidR="00FA6433">
        <w:rPr>
          <w:color w:val="000000"/>
        </w:rPr>
        <w:t xml:space="preserve"> </w:t>
      </w:r>
      <w:r w:rsidR="00FE36BF">
        <w:rPr>
          <w:color w:val="000000"/>
        </w:rPr>
        <w:t>other comparator countries chosen as most relevant from the eighteen</w:t>
      </w:r>
      <w:r w:rsidR="007629FC">
        <w:rPr>
          <w:color w:val="000000"/>
        </w:rPr>
        <w:t xml:space="preserve"> included in </w:t>
      </w:r>
      <w:r w:rsidR="00210D42">
        <w:rPr>
          <w:color w:val="000000"/>
        </w:rPr>
        <w:t xml:space="preserve">a </w:t>
      </w:r>
      <w:r w:rsidR="00A66E93">
        <w:rPr>
          <w:color w:val="000000"/>
        </w:rPr>
        <w:t xml:space="preserve">global </w:t>
      </w:r>
      <w:r w:rsidR="007629FC">
        <w:rPr>
          <w:color w:val="000000"/>
        </w:rPr>
        <w:t>study</w:t>
      </w:r>
      <w:r w:rsidR="00210D42">
        <w:rPr>
          <w:color w:val="000000"/>
        </w:rPr>
        <w:t xml:space="preserve"> prepared for the US Chamber of Commerce (Rasmussen et al</w:t>
      </w:r>
      <w:r w:rsidRPr="00A459ED">
        <w:rPr>
          <w:color w:val="000000"/>
        </w:rPr>
        <w:t>.</w:t>
      </w:r>
      <w:r w:rsidR="00210D42">
        <w:rPr>
          <w:color w:val="000000"/>
        </w:rPr>
        <w:t xml:space="preserve"> 2016).</w:t>
      </w:r>
      <w:r>
        <w:rPr>
          <w:color w:val="000000"/>
        </w:rPr>
        <w:t xml:space="preserve"> </w:t>
      </w:r>
    </w:p>
    <w:p w:rsidR="002C00E3" w:rsidRPr="00373D36" w:rsidRDefault="002C00E3" w:rsidP="002C00E3">
      <w:pPr>
        <w:pStyle w:val="Heading2"/>
      </w:pPr>
      <w:bookmarkStart w:id="2" w:name="_Toc432083900"/>
      <w:bookmarkStart w:id="3" w:name="_Toc432083898"/>
      <w:r w:rsidRPr="00373D36">
        <w:t>Population and Labour Force Ageing</w:t>
      </w:r>
      <w:bookmarkEnd w:id="2"/>
      <w:r w:rsidRPr="00373D36">
        <w:t xml:space="preserve"> </w:t>
      </w:r>
    </w:p>
    <w:p w:rsidR="009A16BC" w:rsidRPr="00A87F97" w:rsidRDefault="009A16BC" w:rsidP="009A16BC">
      <w:pPr>
        <w:pStyle w:val="Heading3"/>
        <w:rPr>
          <w:rFonts w:ascii="Times New Roman" w:eastAsia="Times New Roman" w:hAnsi="Times New Roman" w:cs="Times New Roman"/>
        </w:rPr>
      </w:pPr>
      <w:r>
        <w:t>Population ageing</w:t>
      </w:r>
      <w:bookmarkEnd w:id="3"/>
    </w:p>
    <w:p w:rsidR="00B93461" w:rsidRDefault="003B638D" w:rsidP="003B638D">
      <w:pPr>
        <w:rPr>
          <w:bCs/>
        </w:rPr>
      </w:pPr>
      <w:r w:rsidRPr="00006226">
        <w:rPr>
          <w:bCs/>
        </w:rPr>
        <w:t>While no single indicator can capture the diversity of ageing patterns, the proportion of the population that is aged 45 years and over</w:t>
      </w:r>
      <w:r w:rsidR="009A1F97" w:rsidRPr="009A1F97">
        <w:rPr>
          <w:bCs/>
        </w:rPr>
        <w:t xml:space="preserve"> </w:t>
      </w:r>
      <w:r w:rsidR="009A1F97" w:rsidRPr="00006226">
        <w:rPr>
          <w:bCs/>
        </w:rPr>
        <w:t>provides one summary indicator</w:t>
      </w:r>
      <w:r w:rsidRPr="00006226">
        <w:rPr>
          <w:bCs/>
        </w:rPr>
        <w:t xml:space="preserve">. </w:t>
      </w:r>
      <w:r w:rsidR="00991E9C">
        <w:rPr>
          <w:bCs/>
        </w:rPr>
        <w:t xml:space="preserve">Data from the 2010 China Census shows that 37% of the population of Jiangsu is 45 years and over compared with 33% for </w:t>
      </w:r>
      <w:r w:rsidR="00C87F32">
        <w:rPr>
          <w:bCs/>
        </w:rPr>
        <w:t>C</w:t>
      </w:r>
      <w:r w:rsidR="00991E9C">
        <w:rPr>
          <w:bCs/>
        </w:rPr>
        <w:t xml:space="preserve">hina as a whole. </w:t>
      </w:r>
      <w:r w:rsidR="000334A5">
        <w:rPr>
          <w:bCs/>
        </w:rPr>
        <w:t>UN population projections show that</w:t>
      </w:r>
      <w:r w:rsidR="00E60BFD">
        <w:rPr>
          <w:bCs/>
        </w:rPr>
        <w:t xml:space="preserve"> </w:t>
      </w:r>
      <w:r w:rsidR="007E3F65">
        <w:rPr>
          <w:bCs/>
        </w:rPr>
        <w:t>China and USA</w:t>
      </w:r>
      <w:r w:rsidR="00E60BFD">
        <w:rPr>
          <w:bCs/>
        </w:rPr>
        <w:t xml:space="preserve"> </w:t>
      </w:r>
      <w:r w:rsidR="000334A5">
        <w:rPr>
          <w:bCs/>
        </w:rPr>
        <w:t>are</w:t>
      </w:r>
      <w:r w:rsidR="00E60BFD">
        <w:rPr>
          <w:bCs/>
        </w:rPr>
        <w:t xml:space="preserve"> expected to have </w:t>
      </w:r>
      <w:r w:rsidR="007E3F65">
        <w:rPr>
          <w:bCs/>
        </w:rPr>
        <w:t>46.8</w:t>
      </w:r>
      <w:r w:rsidR="00B743CB">
        <w:rPr>
          <w:bCs/>
        </w:rPr>
        <w:t>%</w:t>
      </w:r>
      <w:r w:rsidR="00E60BFD">
        <w:rPr>
          <w:bCs/>
        </w:rPr>
        <w:t xml:space="preserve"> and </w:t>
      </w:r>
      <w:r w:rsidR="007E3F65">
        <w:rPr>
          <w:bCs/>
        </w:rPr>
        <w:t>43.6</w:t>
      </w:r>
      <w:r w:rsidR="00E60BFD">
        <w:rPr>
          <w:bCs/>
        </w:rPr>
        <w:t>%</w:t>
      </w:r>
      <w:r w:rsidR="00321B72">
        <w:rPr>
          <w:bCs/>
        </w:rPr>
        <w:t>,</w:t>
      </w:r>
      <w:r w:rsidR="00E60BFD">
        <w:rPr>
          <w:bCs/>
        </w:rPr>
        <w:t xml:space="preserve"> </w:t>
      </w:r>
      <w:r w:rsidR="007629FC">
        <w:rPr>
          <w:bCs/>
        </w:rPr>
        <w:t>respectively</w:t>
      </w:r>
      <w:r w:rsidR="00321B72">
        <w:rPr>
          <w:bCs/>
        </w:rPr>
        <w:t>,</w:t>
      </w:r>
      <w:r w:rsidR="007629FC">
        <w:rPr>
          <w:bCs/>
        </w:rPr>
        <w:t xml:space="preserve"> </w:t>
      </w:r>
      <w:r w:rsidR="00E60BFD">
        <w:rPr>
          <w:bCs/>
        </w:rPr>
        <w:t>of their population</w:t>
      </w:r>
      <w:r w:rsidR="007629FC">
        <w:rPr>
          <w:bCs/>
        </w:rPr>
        <w:t>s</w:t>
      </w:r>
      <w:r w:rsidR="00E60BFD">
        <w:rPr>
          <w:bCs/>
        </w:rPr>
        <w:t xml:space="preserve"> aged over 45</w:t>
      </w:r>
      <w:r w:rsidR="007629FC">
        <w:rPr>
          <w:bCs/>
        </w:rPr>
        <w:t xml:space="preserve"> by 2030</w:t>
      </w:r>
      <w:r w:rsidR="007B4274">
        <w:rPr>
          <w:bCs/>
        </w:rPr>
        <w:t xml:space="preserve">. </w:t>
      </w:r>
      <w:r w:rsidR="000334A5">
        <w:rPr>
          <w:bCs/>
        </w:rPr>
        <w:t>Given that in 2010 Jiangsu had a higher percentage of its population over 45 than China nationall</w:t>
      </w:r>
      <w:r w:rsidR="00D16983">
        <w:rPr>
          <w:bCs/>
        </w:rPr>
        <w:t xml:space="preserve">y, </w:t>
      </w:r>
      <w:r w:rsidR="000334A5">
        <w:rPr>
          <w:bCs/>
        </w:rPr>
        <w:t>ag</w:t>
      </w:r>
      <w:r w:rsidR="00D16983">
        <w:rPr>
          <w:bCs/>
        </w:rPr>
        <w:t>e</w:t>
      </w:r>
      <w:r w:rsidR="000334A5">
        <w:rPr>
          <w:bCs/>
        </w:rPr>
        <w:t>ing</w:t>
      </w:r>
      <w:r w:rsidR="00D16983">
        <w:rPr>
          <w:bCs/>
        </w:rPr>
        <w:t xml:space="preserve"> of its population is a significant</w:t>
      </w:r>
      <w:r w:rsidR="000334A5">
        <w:rPr>
          <w:bCs/>
        </w:rPr>
        <w:t xml:space="preserve"> </w:t>
      </w:r>
      <w:r w:rsidR="00F5766C">
        <w:rPr>
          <w:bCs/>
        </w:rPr>
        <w:t>issue</w:t>
      </w:r>
      <w:r w:rsidR="000334A5">
        <w:rPr>
          <w:bCs/>
        </w:rPr>
        <w:t>.</w:t>
      </w:r>
    </w:p>
    <w:p w:rsidR="003B638D" w:rsidRDefault="00B93461" w:rsidP="003B638D">
      <w:pPr>
        <w:rPr>
          <w:bCs/>
        </w:rPr>
      </w:pPr>
      <w:r>
        <w:rPr>
          <w:bCs/>
        </w:rPr>
        <w:lastRenderedPageBreak/>
        <w:t xml:space="preserve">Figure 1 shows that of the total population of </w:t>
      </w:r>
      <w:r w:rsidR="000334A5">
        <w:rPr>
          <w:bCs/>
        </w:rPr>
        <w:t>Jiangsu between 1995 and 2015</w:t>
      </w:r>
      <w:r w:rsidR="00A66E93">
        <w:rPr>
          <w:bCs/>
        </w:rPr>
        <w:t>,</w:t>
      </w:r>
      <w:r>
        <w:rPr>
          <w:bCs/>
        </w:rPr>
        <w:t xml:space="preserve"> those</w:t>
      </w:r>
      <w:r w:rsidR="00BE6840">
        <w:rPr>
          <w:bCs/>
        </w:rPr>
        <w:t xml:space="preserve"> at</w:t>
      </w:r>
      <w:r>
        <w:rPr>
          <w:bCs/>
        </w:rPr>
        <w:t xml:space="preserve"> the working age</w:t>
      </w:r>
      <w:r w:rsidR="00D7109A">
        <w:rPr>
          <w:bCs/>
        </w:rPr>
        <w:t>s</w:t>
      </w:r>
      <w:r>
        <w:rPr>
          <w:bCs/>
        </w:rPr>
        <w:t xml:space="preserve"> of </w:t>
      </w:r>
      <w:r w:rsidR="000334A5">
        <w:rPr>
          <w:bCs/>
        </w:rPr>
        <w:t>1</w:t>
      </w:r>
      <w:r>
        <w:rPr>
          <w:bCs/>
        </w:rPr>
        <w:t xml:space="preserve">5 to </w:t>
      </w:r>
      <w:r w:rsidR="000334A5">
        <w:rPr>
          <w:bCs/>
        </w:rPr>
        <w:t>65</w:t>
      </w:r>
      <w:r>
        <w:rPr>
          <w:bCs/>
        </w:rPr>
        <w:t xml:space="preserve"> </w:t>
      </w:r>
      <w:r w:rsidR="00BE6840">
        <w:rPr>
          <w:bCs/>
        </w:rPr>
        <w:t xml:space="preserve">years </w:t>
      </w:r>
      <w:r w:rsidR="00D7109A">
        <w:rPr>
          <w:bCs/>
        </w:rPr>
        <w:t>have</w:t>
      </w:r>
      <w:r w:rsidR="00A66E93">
        <w:rPr>
          <w:bCs/>
        </w:rPr>
        <w:t xml:space="preserve"> </w:t>
      </w:r>
      <w:r>
        <w:rPr>
          <w:bCs/>
        </w:rPr>
        <w:t>gradually increas</w:t>
      </w:r>
      <w:r w:rsidR="00D7109A">
        <w:rPr>
          <w:bCs/>
        </w:rPr>
        <w:t>ed</w:t>
      </w:r>
      <w:r>
        <w:rPr>
          <w:bCs/>
        </w:rPr>
        <w:t xml:space="preserve"> from </w:t>
      </w:r>
      <w:r w:rsidR="00D7109A">
        <w:rPr>
          <w:bCs/>
        </w:rPr>
        <w:t>67</w:t>
      </w:r>
      <w:r>
        <w:rPr>
          <w:bCs/>
        </w:rPr>
        <w:t xml:space="preserve">% of the population in </w:t>
      </w:r>
      <w:r w:rsidR="00D7109A">
        <w:rPr>
          <w:bCs/>
        </w:rPr>
        <w:t>1995 to</w:t>
      </w:r>
      <w:r>
        <w:rPr>
          <w:bCs/>
        </w:rPr>
        <w:t xml:space="preserve"> </w:t>
      </w:r>
      <w:r w:rsidR="00D7109A">
        <w:rPr>
          <w:bCs/>
        </w:rPr>
        <w:t>7</w:t>
      </w:r>
      <w:r>
        <w:rPr>
          <w:bCs/>
        </w:rPr>
        <w:t xml:space="preserve">3% in </w:t>
      </w:r>
      <w:r w:rsidR="00D7109A">
        <w:rPr>
          <w:bCs/>
        </w:rPr>
        <w:t>2015</w:t>
      </w:r>
      <w:r w:rsidR="00321B72">
        <w:rPr>
          <w:bCs/>
        </w:rPr>
        <w:t>,</w:t>
      </w:r>
      <w:r w:rsidR="00D7109A">
        <w:rPr>
          <w:bCs/>
        </w:rPr>
        <w:t xml:space="preserve"> and those aged 65 plus have increased from 7% to 10% over the same period. Conversely, those aged 0 to 4 years have fallen from 27% of the population to 17%</w:t>
      </w:r>
      <w:r w:rsidR="00232158">
        <w:rPr>
          <w:bCs/>
        </w:rPr>
        <w:t>.</w:t>
      </w:r>
    </w:p>
    <w:p w:rsidR="00281946" w:rsidRPr="001906CE" w:rsidRDefault="0013771C" w:rsidP="00396C98">
      <w:pPr>
        <w:keepNext/>
        <w:spacing w:after="0"/>
        <w:rPr>
          <w:b/>
          <w:sz w:val="20"/>
          <w:szCs w:val="20"/>
        </w:rPr>
      </w:pPr>
      <w:r w:rsidRPr="001906CE">
        <w:rPr>
          <w:b/>
          <w:sz w:val="20"/>
          <w:szCs w:val="20"/>
        </w:rPr>
        <w:t xml:space="preserve">Figure 1 </w:t>
      </w:r>
      <w:r w:rsidR="00B93461" w:rsidRPr="001906CE">
        <w:rPr>
          <w:b/>
          <w:sz w:val="20"/>
          <w:szCs w:val="20"/>
        </w:rPr>
        <w:t>P</w:t>
      </w:r>
      <w:r w:rsidRPr="001906CE">
        <w:rPr>
          <w:b/>
          <w:sz w:val="20"/>
          <w:szCs w:val="20"/>
        </w:rPr>
        <w:t xml:space="preserve">opulation of </w:t>
      </w:r>
      <w:r w:rsidR="00044D2D">
        <w:rPr>
          <w:b/>
          <w:sz w:val="20"/>
          <w:szCs w:val="20"/>
        </w:rPr>
        <w:t>Jiangsu</w:t>
      </w:r>
      <w:r w:rsidRPr="001906CE">
        <w:rPr>
          <w:b/>
          <w:sz w:val="20"/>
          <w:szCs w:val="20"/>
        </w:rPr>
        <w:t xml:space="preserve"> by age cohorts</w:t>
      </w:r>
      <w:r w:rsidR="00C87F32">
        <w:rPr>
          <w:b/>
          <w:sz w:val="20"/>
          <w:szCs w:val="20"/>
        </w:rPr>
        <w:t>, 1995 to 2015</w:t>
      </w:r>
    </w:p>
    <w:p w:rsidR="00B93461" w:rsidRPr="0013771C" w:rsidRDefault="00044D2D" w:rsidP="00396C98">
      <w:pPr>
        <w:spacing w:after="0"/>
        <w:rPr>
          <w:b/>
          <w:bCs/>
        </w:rPr>
      </w:pPr>
      <w:r w:rsidRPr="00396C98">
        <w:rPr>
          <w:noProof/>
          <w:sz w:val="18"/>
          <w:szCs w:val="18"/>
          <w:lang w:eastAsia="en-AU"/>
        </w:rPr>
        <w:drawing>
          <wp:inline distT="0" distB="0" distL="0" distR="0" wp14:anchorId="416C100E" wp14:editId="69B0C0E6">
            <wp:extent cx="4572000" cy="2743200"/>
            <wp:effectExtent l="0" t="0" r="0"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C73407" w:rsidRPr="00516500" w:rsidRDefault="008001D5" w:rsidP="00396C98">
      <w:pPr>
        <w:pStyle w:val="Heading3"/>
        <w:spacing w:before="0" w:after="0"/>
        <w:rPr>
          <w:rFonts w:ascii="Calibri" w:eastAsiaTheme="minorEastAsia" w:hAnsi="Calibri" w:cstheme="minorBidi"/>
          <w:b w:val="0"/>
          <w:bCs w:val="0"/>
          <w:color w:val="auto"/>
          <w:sz w:val="18"/>
          <w:szCs w:val="18"/>
        </w:rPr>
      </w:pPr>
      <w:bookmarkStart w:id="4" w:name="_Toc432077552"/>
      <w:r w:rsidRPr="00516500">
        <w:rPr>
          <w:rFonts w:ascii="Calibri" w:eastAsiaTheme="minorEastAsia" w:hAnsi="Calibri" w:cstheme="minorBidi"/>
          <w:b w:val="0"/>
          <w:color w:val="auto"/>
          <w:sz w:val="18"/>
          <w:szCs w:val="18"/>
        </w:rPr>
        <w:t xml:space="preserve">Source: </w:t>
      </w:r>
      <w:r w:rsidR="005E5CB1" w:rsidRPr="00516500">
        <w:rPr>
          <w:rFonts w:ascii="Calibri" w:eastAsiaTheme="minorEastAsia" w:hAnsi="Calibri" w:cstheme="minorBidi"/>
          <w:b w:val="0"/>
          <w:bCs w:val="0"/>
          <w:color w:val="auto"/>
          <w:sz w:val="18"/>
          <w:szCs w:val="18"/>
        </w:rPr>
        <w:t>National Bureau of Statistics China (2016)</w:t>
      </w:r>
      <w:r w:rsidR="00321B72" w:rsidRPr="00516500">
        <w:rPr>
          <w:rFonts w:ascii="Calibri" w:eastAsiaTheme="minorEastAsia" w:hAnsi="Calibri" w:cstheme="minorBidi"/>
          <w:b w:val="0"/>
          <w:bCs w:val="0"/>
          <w:color w:val="auto"/>
          <w:sz w:val="18"/>
          <w:szCs w:val="18"/>
        </w:rPr>
        <w:t>.</w:t>
      </w:r>
    </w:p>
    <w:p w:rsidR="00E3315C" w:rsidRDefault="00E3315C"/>
    <w:p w:rsidR="00C46EB7" w:rsidRDefault="00C46EB7" w:rsidP="00C46EB7">
      <w:pPr>
        <w:pStyle w:val="Heading3"/>
        <w:rPr>
          <w:lang w:eastAsia="en-AU"/>
        </w:rPr>
      </w:pPr>
      <w:r>
        <w:rPr>
          <w:lang w:eastAsia="en-AU"/>
        </w:rPr>
        <w:t>Implications for labour supply</w:t>
      </w:r>
      <w:bookmarkEnd w:id="4"/>
      <w:r>
        <w:rPr>
          <w:lang w:eastAsia="en-AU"/>
        </w:rPr>
        <w:t xml:space="preserve"> </w:t>
      </w:r>
    </w:p>
    <w:p w:rsidR="00C46EB7" w:rsidRDefault="005F2A0A" w:rsidP="00C46EB7">
      <w:pPr>
        <w:rPr>
          <w:lang w:eastAsia="en-AU"/>
        </w:rPr>
      </w:pPr>
      <w:r>
        <w:rPr>
          <w:lang w:eastAsia="en-AU"/>
        </w:rPr>
        <w:t>As discussed</w:t>
      </w:r>
      <w:r w:rsidR="00C87F32">
        <w:rPr>
          <w:lang w:eastAsia="en-AU"/>
        </w:rPr>
        <w:t>,</w:t>
      </w:r>
      <w:r w:rsidR="00D7109A">
        <w:rPr>
          <w:lang w:eastAsia="en-AU"/>
        </w:rPr>
        <w:t xml:space="preserve"> similar</w:t>
      </w:r>
      <w:r>
        <w:rPr>
          <w:lang w:eastAsia="en-AU"/>
        </w:rPr>
        <w:t xml:space="preserve"> to most countries in our sample</w:t>
      </w:r>
      <w:r w:rsidR="009E214E">
        <w:rPr>
          <w:lang w:eastAsia="en-AU"/>
        </w:rPr>
        <w:t>,</w:t>
      </w:r>
      <w:r>
        <w:rPr>
          <w:lang w:eastAsia="en-AU"/>
        </w:rPr>
        <w:t xml:space="preserve"> </w:t>
      </w:r>
      <w:r w:rsidR="00991E9C">
        <w:rPr>
          <w:lang w:eastAsia="en-AU"/>
        </w:rPr>
        <w:t>Jiangsu</w:t>
      </w:r>
      <w:r w:rsidR="009E214E">
        <w:rPr>
          <w:lang w:eastAsia="en-AU"/>
        </w:rPr>
        <w:t xml:space="preserve"> </w:t>
      </w:r>
      <w:r w:rsidR="00D16983">
        <w:rPr>
          <w:lang w:eastAsia="en-AU"/>
        </w:rPr>
        <w:t>has</w:t>
      </w:r>
      <w:r>
        <w:rPr>
          <w:lang w:eastAsia="en-AU"/>
        </w:rPr>
        <w:t xml:space="preserve"> a rapidly aging population</w:t>
      </w:r>
      <w:r w:rsidR="009E214E">
        <w:rPr>
          <w:lang w:eastAsia="en-AU"/>
        </w:rPr>
        <w:t>.</w:t>
      </w:r>
      <w:r>
        <w:rPr>
          <w:lang w:eastAsia="en-AU"/>
        </w:rPr>
        <w:t xml:space="preserve"> </w:t>
      </w:r>
      <w:r w:rsidR="009E214E">
        <w:rPr>
          <w:lang w:eastAsia="en-AU"/>
        </w:rPr>
        <w:t>This</w:t>
      </w:r>
      <w:r>
        <w:rPr>
          <w:lang w:eastAsia="en-AU"/>
        </w:rPr>
        <w:t xml:space="preserve"> </w:t>
      </w:r>
      <w:r w:rsidR="00D7109A">
        <w:rPr>
          <w:lang w:eastAsia="en-AU"/>
        </w:rPr>
        <w:t>increases</w:t>
      </w:r>
      <w:r>
        <w:rPr>
          <w:lang w:eastAsia="en-AU"/>
        </w:rPr>
        <w:t xml:space="preserve"> the impact of NCDs. For most countries with ageing populations, the effect of </w:t>
      </w:r>
      <w:r w:rsidR="009E214E">
        <w:rPr>
          <w:lang w:eastAsia="en-AU"/>
        </w:rPr>
        <w:t xml:space="preserve">ageing </w:t>
      </w:r>
      <w:r>
        <w:rPr>
          <w:lang w:eastAsia="en-AU"/>
        </w:rPr>
        <w:t>has</w:t>
      </w:r>
      <w:r w:rsidR="00C46EB7">
        <w:rPr>
          <w:lang w:eastAsia="en-AU"/>
        </w:rPr>
        <w:t xml:space="preserve"> significant implications for the incidence of </w:t>
      </w:r>
      <w:r w:rsidR="00314BBD">
        <w:rPr>
          <w:lang w:eastAsia="en-AU"/>
        </w:rPr>
        <w:t>NCDs</w:t>
      </w:r>
      <w:r w:rsidR="00321B72">
        <w:rPr>
          <w:lang w:eastAsia="en-AU"/>
        </w:rPr>
        <w:t>,</w:t>
      </w:r>
      <w:r w:rsidR="00C46EB7">
        <w:rPr>
          <w:lang w:eastAsia="en-AU"/>
        </w:rPr>
        <w:t xml:space="preserve"> since they have higher rates of prevalence in older age groups. These higher rates of NCDs contribute to the higher levels of absenteeism, presenteeism and early retirement. </w:t>
      </w:r>
    </w:p>
    <w:p w:rsidR="00800428" w:rsidRDefault="00C46EB7" w:rsidP="00C46EB7">
      <w:pPr>
        <w:rPr>
          <w:lang w:eastAsia="en-AU"/>
        </w:rPr>
      </w:pPr>
      <w:r>
        <w:rPr>
          <w:lang w:eastAsia="en-AU"/>
        </w:rPr>
        <w:t xml:space="preserve">Figure </w:t>
      </w:r>
      <w:r w:rsidR="00E3315C">
        <w:rPr>
          <w:lang w:eastAsia="en-AU"/>
        </w:rPr>
        <w:t xml:space="preserve">2 </w:t>
      </w:r>
      <w:r>
        <w:rPr>
          <w:lang w:eastAsia="en-AU"/>
        </w:rPr>
        <w:t>focuses on the pre</w:t>
      </w:r>
      <w:r w:rsidR="005655C3">
        <w:rPr>
          <w:lang w:eastAsia="en-AU"/>
        </w:rPr>
        <w:t>-</w:t>
      </w:r>
      <w:r>
        <w:rPr>
          <w:lang w:eastAsia="en-AU"/>
        </w:rPr>
        <w:t xml:space="preserve">retirement workforce aged 50-64. It shows the changes in this age group as a proportion of the total labour force over the period 2000 to 2030 (projected). </w:t>
      </w:r>
      <w:r w:rsidR="009E214E">
        <w:rPr>
          <w:lang w:eastAsia="en-AU"/>
        </w:rPr>
        <w:t>F</w:t>
      </w:r>
      <w:r w:rsidR="00790754">
        <w:rPr>
          <w:lang w:eastAsia="en-AU"/>
        </w:rPr>
        <w:t xml:space="preserve">or </w:t>
      </w:r>
      <w:r w:rsidR="00D7109A">
        <w:rPr>
          <w:lang w:eastAsia="en-AU"/>
        </w:rPr>
        <w:t>Jiangsu</w:t>
      </w:r>
      <w:r w:rsidR="007629FC">
        <w:rPr>
          <w:lang w:eastAsia="en-AU"/>
        </w:rPr>
        <w:t>,</w:t>
      </w:r>
      <w:r w:rsidR="00790754">
        <w:rPr>
          <w:lang w:eastAsia="en-AU"/>
        </w:rPr>
        <w:t xml:space="preserve"> </w:t>
      </w:r>
      <w:r w:rsidR="009E214E">
        <w:rPr>
          <w:lang w:eastAsia="en-AU"/>
        </w:rPr>
        <w:t xml:space="preserve">it shows that </w:t>
      </w:r>
      <w:r w:rsidR="00790754">
        <w:rPr>
          <w:lang w:eastAsia="en-AU"/>
        </w:rPr>
        <w:t>t</w:t>
      </w:r>
      <w:r w:rsidR="00D97E42">
        <w:rPr>
          <w:lang w:eastAsia="en-AU"/>
        </w:rPr>
        <w:t xml:space="preserve">he proportion </w:t>
      </w:r>
      <w:r w:rsidR="005655C3">
        <w:rPr>
          <w:lang w:eastAsia="en-AU"/>
        </w:rPr>
        <w:t xml:space="preserve">of those </w:t>
      </w:r>
      <w:r w:rsidR="00D97E42">
        <w:rPr>
          <w:lang w:eastAsia="en-AU"/>
        </w:rPr>
        <w:t>aged 50-64</w:t>
      </w:r>
      <w:r w:rsidR="005655C3">
        <w:rPr>
          <w:lang w:eastAsia="en-AU"/>
        </w:rPr>
        <w:t xml:space="preserve"> years</w:t>
      </w:r>
      <w:r w:rsidR="00D97E42">
        <w:rPr>
          <w:lang w:eastAsia="en-AU"/>
        </w:rPr>
        <w:t xml:space="preserve"> </w:t>
      </w:r>
      <w:r w:rsidR="00790754">
        <w:rPr>
          <w:lang w:eastAsia="en-AU"/>
        </w:rPr>
        <w:t>in 20</w:t>
      </w:r>
      <w:r w:rsidR="00D7109A">
        <w:rPr>
          <w:lang w:eastAsia="en-AU"/>
        </w:rPr>
        <w:t>15</w:t>
      </w:r>
      <w:r w:rsidR="00790754">
        <w:rPr>
          <w:lang w:eastAsia="en-AU"/>
        </w:rPr>
        <w:t xml:space="preserve"> </w:t>
      </w:r>
      <w:r w:rsidR="001F475A">
        <w:rPr>
          <w:lang w:eastAsia="en-AU"/>
        </w:rPr>
        <w:t>was</w:t>
      </w:r>
      <w:r w:rsidR="00D97E42">
        <w:rPr>
          <w:lang w:eastAsia="en-AU"/>
        </w:rPr>
        <w:t xml:space="preserve"> </w:t>
      </w:r>
      <w:r w:rsidR="00790754">
        <w:rPr>
          <w:lang w:eastAsia="en-AU"/>
        </w:rPr>
        <w:t>comparable</w:t>
      </w:r>
      <w:r w:rsidR="00D97E42">
        <w:rPr>
          <w:lang w:eastAsia="en-AU"/>
        </w:rPr>
        <w:t xml:space="preserve"> </w:t>
      </w:r>
      <w:r w:rsidR="00790754">
        <w:rPr>
          <w:lang w:eastAsia="en-AU"/>
        </w:rPr>
        <w:t>to</w:t>
      </w:r>
      <w:r w:rsidR="00D97E42">
        <w:rPr>
          <w:lang w:eastAsia="en-AU"/>
        </w:rPr>
        <w:t xml:space="preserve"> many other countries in this group, </w:t>
      </w:r>
      <w:r w:rsidR="00790754">
        <w:rPr>
          <w:lang w:eastAsia="en-AU"/>
        </w:rPr>
        <w:t>including countries as diverse as</w:t>
      </w:r>
      <w:r w:rsidR="00C20148">
        <w:rPr>
          <w:lang w:eastAsia="en-AU"/>
        </w:rPr>
        <w:t xml:space="preserve"> </w:t>
      </w:r>
      <w:r w:rsidR="00D7109A">
        <w:rPr>
          <w:lang w:eastAsia="en-AU"/>
        </w:rPr>
        <w:t>Japan, Singapore and the United States. T</w:t>
      </w:r>
      <w:r w:rsidR="00790754">
        <w:rPr>
          <w:lang w:eastAsia="en-AU"/>
        </w:rPr>
        <w:t xml:space="preserve">he proportion of the work force in </w:t>
      </w:r>
      <w:r w:rsidR="00D7109A">
        <w:rPr>
          <w:lang w:eastAsia="en-AU"/>
        </w:rPr>
        <w:t>Jiangsu</w:t>
      </w:r>
      <w:r w:rsidR="00790754">
        <w:rPr>
          <w:lang w:eastAsia="en-AU"/>
        </w:rPr>
        <w:t xml:space="preserve"> aged 50-64</w:t>
      </w:r>
      <w:r w:rsidR="005655C3">
        <w:rPr>
          <w:lang w:eastAsia="en-AU"/>
        </w:rPr>
        <w:t xml:space="preserve"> years</w:t>
      </w:r>
      <w:r w:rsidR="005F2A0A">
        <w:rPr>
          <w:lang w:eastAsia="en-AU"/>
        </w:rPr>
        <w:t xml:space="preserve"> </w:t>
      </w:r>
      <w:r w:rsidR="00D7109A">
        <w:rPr>
          <w:lang w:eastAsia="en-AU"/>
        </w:rPr>
        <w:t>will increase</w:t>
      </w:r>
      <w:r w:rsidR="00C87F32">
        <w:rPr>
          <w:lang w:eastAsia="en-AU"/>
        </w:rPr>
        <w:t xml:space="preserve"> from 27% in 2015</w:t>
      </w:r>
      <w:r w:rsidR="00D7109A">
        <w:rPr>
          <w:lang w:eastAsia="en-AU"/>
        </w:rPr>
        <w:t xml:space="preserve"> to 35% by 2030, the highest amongst the comparator countries.</w:t>
      </w:r>
    </w:p>
    <w:p w:rsidR="007105D9" w:rsidRDefault="00C46EB7" w:rsidP="00C66BFD">
      <w:pPr>
        <w:pStyle w:val="Figureheading"/>
      </w:pPr>
      <w:bookmarkStart w:id="5" w:name="_Toc432077576"/>
      <w:r>
        <w:lastRenderedPageBreak/>
        <w:t xml:space="preserve">Figure </w:t>
      </w:r>
      <w:r w:rsidR="0013771C">
        <w:t>2</w:t>
      </w:r>
      <w:r w:rsidR="00411E9D">
        <w:t xml:space="preserve"> </w:t>
      </w:r>
      <w:r>
        <w:t xml:space="preserve">Proportion of the </w:t>
      </w:r>
      <w:proofErr w:type="spellStart"/>
      <w:r>
        <w:t>labour</w:t>
      </w:r>
      <w:proofErr w:type="spellEnd"/>
      <w:r>
        <w:t xml:space="preserve"> force aged 50-64</w:t>
      </w:r>
      <w:r w:rsidR="005655C3">
        <w:t xml:space="preserve"> years</w:t>
      </w:r>
      <w:r>
        <w:t>,</w:t>
      </w:r>
      <w:r w:rsidR="00232158">
        <w:t xml:space="preserve"> Jiangsu and</w:t>
      </w:r>
      <w:r>
        <w:t xml:space="preserve"> </w:t>
      </w:r>
      <w:r w:rsidR="00B42CE3">
        <w:t>nine</w:t>
      </w:r>
      <w:r>
        <w:t xml:space="preserve"> countries,</w:t>
      </w:r>
    </w:p>
    <w:p w:rsidR="00C46EB7" w:rsidRDefault="00C46EB7" w:rsidP="00C66BFD">
      <w:pPr>
        <w:pStyle w:val="Figureheading"/>
      </w:pPr>
      <w:r>
        <w:t xml:space="preserve"> 2000, 2015 and 2030 (projected)</w:t>
      </w:r>
      <w:bookmarkEnd w:id="5"/>
      <w:r>
        <w:t xml:space="preserve"> </w:t>
      </w:r>
    </w:p>
    <w:p w:rsidR="00790754" w:rsidRDefault="00F15CED" w:rsidP="00C66BFD">
      <w:pPr>
        <w:pStyle w:val="Figureheading"/>
      </w:pPr>
      <w:r>
        <w:rPr>
          <w:noProof/>
          <w:lang w:val="en-AU"/>
        </w:rPr>
        <w:drawing>
          <wp:inline distT="0" distB="0" distL="0" distR="0" wp14:anchorId="3CE53343" wp14:editId="3FEC66E9">
            <wp:extent cx="4829175" cy="2743200"/>
            <wp:effectExtent l="0" t="0" r="0" b="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C46EB7" w:rsidRPr="00516500" w:rsidRDefault="004B6E2C">
      <w:pPr>
        <w:rPr>
          <w:sz w:val="18"/>
          <w:szCs w:val="16"/>
        </w:rPr>
      </w:pPr>
      <w:r w:rsidRPr="00516500">
        <w:rPr>
          <w:sz w:val="18"/>
          <w:szCs w:val="16"/>
        </w:rPr>
        <w:t xml:space="preserve">Source: </w:t>
      </w:r>
      <w:r w:rsidR="00B64877" w:rsidRPr="00516500">
        <w:rPr>
          <w:sz w:val="18"/>
          <w:szCs w:val="16"/>
        </w:rPr>
        <w:t>ILO</w:t>
      </w:r>
      <w:r w:rsidR="00E811A1" w:rsidRPr="00516500">
        <w:rPr>
          <w:sz w:val="18"/>
          <w:szCs w:val="16"/>
        </w:rPr>
        <w:t xml:space="preserve"> (201</w:t>
      </w:r>
      <w:r w:rsidR="009311A1" w:rsidRPr="00516500">
        <w:rPr>
          <w:sz w:val="18"/>
          <w:szCs w:val="16"/>
        </w:rPr>
        <w:t>6</w:t>
      </w:r>
      <w:r w:rsidR="00E811A1" w:rsidRPr="00516500">
        <w:rPr>
          <w:sz w:val="18"/>
          <w:szCs w:val="16"/>
        </w:rPr>
        <w:t>)</w:t>
      </w:r>
      <w:r w:rsidR="00991E9C" w:rsidRPr="00516500">
        <w:rPr>
          <w:sz w:val="18"/>
          <w:szCs w:val="16"/>
        </w:rPr>
        <w:t>, VISES estimates</w:t>
      </w:r>
      <w:r w:rsidR="00411E9D" w:rsidRPr="00516500">
        <w:rPr>
          <w:sz w:val="18"/>
          <w:szCs w:val="16"/>
        </w:rPr>
        <w:t>.</w:t>
      </w:r>
    </w:p>
    <w:p w:rsidR="00023545" w:rsidRPr="00023545" w:rsidRDefault="00023545">
      <w:pPr>
        <w:rPr>
          <w:szCs w:val="22"/>
        </w:rPr>
      </w:pPr>
      <w:r>
        <w:rPr>
          <w:szCs w:val="22"/>
        </w:rPr>
        <w:t>Between 2015 and 2030</w:t>
      </w:r>
      <w:r w:rsidR="00321B72">
        <w:rPr>
          <w:szCs w:val="22"/>
        </w:rPr>
        <w:t>,</w:t>
      </w:r>
      <w:r>
        <w:rPr>
          <w:szCs w:val="22"/>
        </w:rPr>
        <w:t xml:space="preserve"> Jiangsu’s labour force aged 50 to 64 will in</w:t>
      </w:r>
      <w:r w:rsidR="00D724F6">
        <w:rPr>
          <w:szCs w:val="22"/>
        </w:rPr>
        <w:t xml:space="preserve">crease by over 8% (see </w:t>
      </w:r>
      <w:r w:rsidR="00321B72">
        <w:rPr>
          <w:szCs w:val="22"/>
        </w:rPr>
        <w:t>Figure3</w:t>
      </w:r>
      <w:r w:rsidR="00D724F6">
        <w:rPr>
          <w:szCs w:val="22"/>
        </w:rPr>
        <w:t xml:space="preserve">), the highest of these countries. </w:t>
      </w:r>
      <w:r w:rsidR="00321B72">
        <w:rPr>
          <w:szCs w:val="22"/>
        </w:rPr>
        <w:t xml:space="preserve">Nationally, </w:t>
      </w:r>
      <w:r>
        <w:rPr>
          <w:szCs w:val="22"/>
        </w:rPr>
        <w:t>China is projected to have an increase of over 6% followed by Japan at 5.3%, Indonesia 4.6% and Brazil at 3.8%. In contrast</w:t>
      </w:r>
      <w:r w:rsidR="00321B72">
        <w:rPr>
          <w:szCs w:val="22"/>
        </w:rPr>
        <w:t>,</w:t>
      </w:r>
      <w:r>
        <w:rPr>
          <w:szCs w:val="22"/>
        </w:rPr>
        <w:t xml:space="preserve"> the United States labour force aged 50</w:t>
      </w:r>
      <w:r w:rsidR="00321B72">
        <w:rPr>
          <w:szCs w:val="22"/>
        </w:rPr>
        <w:t>-</w:t>
      </w:r>
      <w:r>
        <w:rPr>
          <w:szCs w:val="22"/>
        </w:rPr>
        <w:t>64 will fall by 3.5%.</w:t>
      </w:r>
    </w:p>
    <w:p w:rsidR="00800428" w:rsidRDefault="00800428" w:rsidP="001071FB">
      <w:pPr>
        <w:pStyle w:val="Figureheading"/>
      </w:pPr>
      <w:r>
        <w:t xml:space="preserve">Figure </w:t>
      </w:r>
      <w:r w:rsidR="00836749">
        <w:t>3</w:t>
      </w:r>
      <w:r w:rsidR="005655C3">
        <w:t xml:space="preserve"> </w:t>
      </w:r>
      <w:r w:rsidR="00E41373">
        <w:t>Increase in the projected p</w:t>
      </w:r>
      <w:r>
        <w:t xml:space="preserve">roportion of the </w:t>
      </w:r>
      <w:proofErr w:type="spellStart"/>
      <w:r>
        <w:t>labour</w:t>
      </w:r>
      <w:proofErr w:type="spellEnd"/>
      <w:r>
        <w:t xml:space="preserve"> force aged 50-64</w:t>
      </w:r>
      <w:proofErr w:type="gramStart"/>
      <w:r>
        <w:t>,</w:t>
      </w:r>
      <w:r w:rsidR="00201BF8">
        <w:t xml:space="preserve"> </w:t>
      </w:r>
      <w:r>
        <w:t xml:space="preserve"> </w:t>
      </w:r>
      <w:proofErr w:type="gramEnd"/>
      <w:r w:rsidR="00201BF8">
        <w:br/>
      </w:r>
      <w:r w:rsidR="00DC484A">
        <w:t>Jiangsu and select</w:t>
      </w:r>
      <w:r w:rsidR="00201BF8">
        <w:t>ed</w:t>
      </w:r>
      <w:r>
        <w:t xml:space="preserve"> countries, </w:t>
      </w:r>
      <w:r w:rsidR="00E41373">
        <w:t>2015-2030</w:t>
      </w:r>
      <w:r>
        <w:t xml:space="preserve"> </w:t>
      </w:r>
    </w:p>
    <w:p w:rsidR="00800428" w:rsidRPr="00516500" w:rsidRDefault="00A03B91">
      <w:pPr>
        <w:rPr>
          <w:sz w:val="18"/>
          <w:szCs w:val="16"/>
        </w:rPr>
      </w:pPr>
      <w:r>
        <w:rPr>
          <w:noProof/>
          <w:lang w:eastAsia="en-AU"/>
        </w:rPr>
        <w:drawing>
          <wp:inline distT="0" distB="0" distL="0" distR="0" wp14:anchorId="6B34BCC1" wp14:editId="613A1639">
            <wp:extent cx="4572000" cy="2933700"/>
            <wp:effectExtent l="0" t="0" r="0" b="0"/>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sidR="004B6E2C">
        <w:br/>
      </w:r>
      <w:r w:rsidR="004B6E2C" w:rsidRPr="00516500">
        <w:rPr>
          <w:sz w:val="18"/>
          <w:szCs w:val="16"/>
        </w:rPr>
        <w:t xml:space="preserve">Source: </w:t>
      </w:r>
      <w:r w:rsidR="00B64877" w:rsidRPr="00516500">
        <w:rPr>
          <w:sz w:val="18"/>
          <w:szCs w:val="16"/>
        </w:rPr>
        <w:t>ILO</w:t>
      </w:r>
      <w:r w:rsidR="00E811A1" w:rsidRPr="00516500">
        <w:rPr>
          <w:sz w:val="18"/>
          <w:szCs w:val="16"/>
        </w:rPr>
        <w:t xml:space="preserve"> (201</w:t>
      </w:r>
      <w:r w:rsidR="009311A1" w:rsidRPr="00516500">
        <w:rPr>
          <w:sz w:val="18"/>
          <w:szCs w:val="16"/>
        </w:rPr>
        <w:t>6</w:t>
      </w:r>
      <w:r w:rsidR="00E811A1" w:rsidRPr="00516500">
        <w:rPr>
          <w:sz w:val="18"/>
          <w:szCs w:val="16"/>
        </w:rPr>
        <w:t>)</w:t>
      </w:r>
      <w:r w:rsidR="003C0085" w:rsidRPr="00516500">
        <w:rPr>
          <w:sz w:val="18"/>
          <w:szCs w:val="16"/>
        </w:rPr>
        <w:t xml:space="preserve"> and VISES estimates</w:t>
      </w:r>
      <w:r w:rsidR="00E811A1" w:rsidRPr="00516500">
        <w:rPr>
          <w:sz w:val="18"/>
          <w:szCs w:val="16"/>
        </w:rPr>
        <w:t>.</w:t>
      </w:r>
    </w:p>
    <w:p w:rsidR="00A2764A" w:rsidRPr="001906CE" w:rsidRDefault="00A2764A">
      <w:pPr>
        <w:rPr>
          <w:sz w:val="16"/>
          <w:szCs w:val="16"/>
        </w:rPr>
      </w:pPr>
    </w:p>
    <w:p w:rsidR="00E41373" w:rsidRDefault="00E41373" w:rsidP="00E41373">
      <w:pPr>
        <w:pStyle w:val="Heading3"/>
        <w:rPr>
          <w:lang w:eastAsia="en-AU"/>
        </w:rPr>
      </w:pPr>
      <w:bookmarkStart w:id="6" w:name="_Toc432077554"/>
      <w:r>
        <w:rPr>
          <w:lang w:eastAsia="en-AU"/>
        </w:rPr>
        <w:lastRenderedPageBreak/>
        <w:t>Burden of disease</w:t>
      </w:r>
      <w:bookmarkEnd w:id="6"/>
    </w:p>
    <w:p w:rsidR="00E41373" w:rsidRDefault="00E41373" w:rsidP="00E41373">
      <w:pPr>
        <w:spacing w:before="240"/>
        <w:rPr>
          <w:lang w:eastAsia="en-AU"/>
        </w:rPr>
      </w:pPr>
      <w:r>
        <w:rPr>
          <w:lang w:eastAsia="en-AU"/>
        </w:rPr>
        <w:t xml:space="preserve">The WHO </w:t>
      </w:r>
      <w:r w:rsidR="009D1340">
        <w:rPr>
          <w:lang w:eastAsia="en-AU"/>
        </w:rPr>
        <w:t>G</w:t>
      </w:r>
      <w:r>
        <w:rPr>
          <w:lang w:eastAsia="en-AU"/>
        </w:rPr>
        <w:t xml:space="preserve">lobal </w:t>
      </w:r>
      <w:r w:rsidR="009D1340">
        <w:rPr>
          <w:lang w:eastAsia="en-AU"/>
        </w:rPr>
        <w:t>B</w:t>
      </w:r>
      <w:r>
        <w:rPr>
          <w:lang w:eastAsia="en-AU"/>
        </w:rPr>
        <w:t xml:space="preserve">urden of </w:t>
      </w:r>
      <w:r w:rsidR="009D1340">
        <w:rPr>
          <w:lang w:eastAsia="en-AU"/>
        </w:rPr>
        <w:t>D</w:t>
      </w:r>
      <w:r>
        <w:rPr>
          <w:lang w:eastAsia="en-AU"/>
        </w:rPr>
        <w:t xml:space="preserve">isease study (Murray et al. 2015) estimates both prevalence and severity of disease. It uses the number of years lived with disability </w:t>
      </w:r>
      <w:r w:rsidR="009D1340">
        <w:rPr>
          <w:lang w:eastAsia="en-AU"/>
        </w:rPr>
        <w:t xml:space="preserve">(YLD) </w:t>
      </w:r>
      <w:r>
        <w:rPr>
          <w:lang w:eastAsia="en-AU"/>
        </w:rPr>
        <w:t>as an indicator of the impact of morbidity arising from disease. The results are grouped in three broad sequelae: c</w:t>
      </w:r>
      <w:r w:rsidRPr="009024E7">
        <w:rPr>
          <w:lang w:eastAsia="en-AU"/>
        </w:rPr>
        <w:t>ommunicable maternal, perinatal and nutritional conditions</w:t>
      </w:r>
      <w:r w:rsidR="00586498">
        <w:rPr>
          <w:lang w:eastAsia="en-AU"/>
        </w:rPr>
        <w:t>;</w:t>
      </w:r>
      <w:r>
        <w:rPr>
          <w:lang w:eastAsia="en-AU"/>
        </w:rPr>
        <w:t xml:space="preserve"> non-communicable diseases (NCDs)</w:t>
      </w:r>
      <w:r w:rsidR="00586498">
        <w:rPr>
          <w:lang w:eastAsia="en-AU"/>
        </w:rPr>
        <w:t>;</w:t>
      </w:r>
      <w:r>
        <w:rPr>
          <w:lang w:eastAsia="en-AU"/>
        </w:rPr>
        <w:t xml:space="preserve"> and injuries.</w:t>
      </w:r>
    </w:p>
    <w:p w:rsidR="00DD6725" w:rsidRDefault="00E41373" w:rsidP="005B2D9B">
      <w:pPr>
        <w:rPr>
          <w:lang w:eastAsia="en-AU"/>
        </w:rPr>
      </w:pPr>
      <w:r>
        <w:rPr>
          <w:lang w:eastAsia="en-AU"/>
        </w:rPr>
        <w:t xml:space="preserve">Figure </w:t>
      </w:r>
      <w:r w:rsidR="0013771C">
        <w:rPr>
          <w:lang w:eastAsia="en-AU"/>
        </w:rPr>
        <w:t>4</w:t>
      </w:r>
      <w:r w:rsidR="00586498">
        <w:rPr>
          <w:lang w:eastAsia="en-AU"/>
        </w:rPr>
        <w:t xml:space="preserve"> </w:t>
      </w:r>
      <w:r>
        <w:rPr>
          <w:lang w:eastAsia="en-AU"/>
        </w:rPr>
        <w:t xml:space="preserve">shows the </w:t>
      </w:r>
      <w:r w:rsidR="007E33DA">
        <w:rPr>
          <w:lang w:eastAsia="en-AU"/>
        </w:rPr>
        <w:t xml:space="preserve">estimated </w:t>
      </w:r>
      <w:r>
        <w:rPr>
          <w:lang w:eastAsia="en-AU"/>
        </w:rPr>
        <w:t xml:space="preserve">burden of disease </w:t>
      </w:r>
      <w:r w:rsidR="00706BA4">
        <w:rPr>
          <w:lang w:eastAsia="en-AU"/>
        </w:rPr>
        <w:t xml:space="preserve">for 2013 </w:t>
      </w:r>
      <w:r>
        <w:rPr>
          <w:lang w:eastAsia="en-AU"/>
        </w:rPr>
        <w:t xml:space="preserve">for </w:t>
      </w:r>
      <w:r w:rsidR="00DD6725">
        <w:rPr>
          <w:lang w:eastAsia="en-AU"/>
        </w:rPr>
        <w:t>Jiangsu</w:t>
      </w:r>
      <w:r w:rsidR="00515C55">
        <w:rPr>
          <w:lang w:eastAsia="en-AU"/>
        </w:rPr>
        <w:t xml:space="preserve"> and the other</w:t>
      </w:r>
      <w:r>
        <w:rPr>
          <w:lang w:eastAsia="en-AU"/>
        </w:rPr>
        <w:t xml:space="preserve"> </w:t>
      </w:r>
      <w:r w:rsidR="001E303C">
        <w:rPr>
          <w:lang w:eastAsia="en-AU"/>
        </w:rPr>
        <w:t>selected</w:t>
      </w:r>
      <w:r>
        <w:rPr>
          <w:lang w:eastAsia="en-AU"/>
        </w:rPr>
        <w:t xml:space="preserve"> countries for those in their pre</w:t>
      </w:r>
      <w:r w:rsidR="00586498">
        <w:rPr>
          <w:lang w:eastAsia="en-AU"/>
        </w:rPr>
        <w:t>-</w:t>
      </w:r>
      <w:r>
        <w:rPr>
          <w:lang w:eastAsia="en-AU"/>
        </w:rPr>
        <w:t>retirement years, aged 50-</w:t>
      </w:r>
      <w:r w:rsidR="00201BF8">
        <w:rPr>
          <w:lang w:eastAsia="en-AU"/>
        </w:rPr>
        <w:t>64</w:t>
      </w:r>
      <w:r>
        <w:rPr>
          <w:lang w:eastAsia="en-AU"/>
        </w:rPr>
        <w:t xml:space="preserve">. The </w:t>
      </w:r>
      <w:r w:rsidR="00411E9D">
        <w:rPr>
          <w:lang w:eastAsia="en-AU"/>
        </w:rPr>
        <w:t xml:space="preserve">figure </w:t>
      </w:r>
      <w:r>
        <w:rPr>
          <w:lang w:eastAsia="en-AU"/>
        </w:rPr>
        <w:t xml:space="preserve">shows that the burden of disease, as measured by YLDs, is highest </w:t>
      </w:r>
      <w:r w:rsidR="00B21E00">
        <w:rPr>
          <w:lang w:eastAsia="en-AU"/>
        </w:rPr>
        <w:t>for</w:t>
      </w:r>
      <w:r w:rsidR="00E60A71">
        <w:rPr>
          <w:lang w:eastAsia="en-AU"/>
        </w:rPr>
        <w:t xml:space="preserve"> the</w:t>
      </w:r>
      <w:r w:rsidR="00362296">
        <w:rPr>
          <w:lang w:eastAsia="en-AU"/>
        </w:rPr>
        <w:t xml:space="preserve"> United States</w:t>
      </w:r>
      <w:r w:rsidR="00E60A71">
        <w:rPr>
          <w:lang w:eastAsia="en-AU"/>
        </w:rPr>
        <w:t xml:space="preserve">, </w:t>
      </w:r>
      <w:r w:rsidR="00DD6725">
        <w:rPr>
          <w:lang w:eastAsia="en-AU"/>
        </w:rPr>
        <w:t>Brazil</w:t>
      </w:r>
      <w:r w:rsidR="00385EA7">
        <w:rPr>
          <w:lang w:eastAsia="en-AU"/>
        </w:rPr>
        <w:t>,</w:t>
      </w:r>
      <w:r w:rsidR="001A16EE">
        <w:rPr>
          <w:lang w:eastAsia="en-AU"/>
        </w:rPr>
        <w:t xml:space="preserve"> India and </w:t>
      </w:r>
      <w:r w:rsidR="00385EA7">
        <w:rPr>
          <w:lang w:eastAsia="en-AU"/>
        </w:rPr>
        <w:t>the P</w:t>
      </w:r>
      <w:r w:rsidR="001A16EE">
        <w:rPr>
          <w:lang w:eastAsia="en-AU"/>
        </w:rPr>
        <w:t>hilippines</w:t>
      </w:r>
      <w:r w:rsidR="00E60A71">
        <w:rPr>
          <w:lang w:eastAsia="en-AU"/>
        </w:rPr>
        <w:t xml:space="preserve">. </w:t>
      </w:r>
      <w:r w:rsidR="0033255E">
        <w:rPr>
          <w:lang w:eastAsia="en-AU"/>
        </w:rPr>
        <w:t>Jiangsu’s</w:t>
      </w:r>
      <w:r w:rsidR="00CF39C1">
        <w:rPr>
          <w:lang w:eastAsia="en-AU"/>
        </w:rPr>
        <w:t xml:space="preserve"> total disease burden is 1</w:t>
      </w:r>
      <w:r w:rsidR="00DD6725">
        <w:rPr>
          <w:lang w:eastAsia="en-AU"/>
        </w:rPr>
        <w:t>27</w:t>
      </w:r>
      <w:r w:rsidR="00586498">
        <w:rPr>
          <w:lang w:eastAsia="en-AU"/>
        </w:rPr>
        <w:t xml:space="preserve"> per 1000 population</w:t>
      </w:r>
      <w:r w:rsidR="00E60A71">
        <w:rPr>
          <w:lang w:eastAsia="en-AU"/>
        </w:rPr>
        <w:t xml:space="preserve"> and is relatively </w:t>
      </w:r>
      <w:r w:rsidR="00DD6725">
        <w:rPr>
          <w:lang w:eastAsia="en-AU"/>
        </w:rPr>
        <w:t>low</w:t>
      </w:r>
      <w:r w:rsidR="00E60A71">
        <w:rPr>
          <w:lang w:eastAsia="en-AU"/>
        </w:rPr>
        <w:t xml:space="preserve"> due to </w:t>
      </w:r>
      <w:r w:rsidR="00DD6725">
        <w:rPr>
          <w:lang w:eastAsia="en-AU"/>
        </w:rPr>
        <w:t>lowe</w:t>
      </w:r>
      <w:r w:rsidR="00E60A71">
        <w:rPr>
          <w:lang w:eastAsia="en-AU"/>
        </w:rPr>
        <w:t xml:space="preserve">r than average YLDs for </w:t>
      </w:r>
      <w:r w:rsidR="000E5DDF">
        <w:rPr>
          <w:lang w:eastAsia="en-AU"/>
        </w:rPr>
        <w:t xml:space="preserve">NCDs and </w:t>
      </w:r>
      <w:r w:rsidR="00A2764A">
        <w:rPr>
          <w:lang w:eastAsia="en-AU"/>
        </w:rPr>
        <w:t xml:space="preserve">communicable </w:t>
      </w:r>
      <w:r w:rsidR="00E60A71">
        <w:rPr>
          <w:lang w:eastAsia="en-AU"/>
        </w:rPr>
        <w:t>diseases</w:t>
      </w:r>
      <w:r w:rsidR="00DD6725">
        <w:rPr>
          <w:lang w:eastAsia="en-AU"/>
        </w:rPr>
        <w:t>.</w:t>
      </w:r>
    </w:p>
    <w:p w:rsidR="007105D9" w:rsidRDefault="00063666" w:rsidP="00063666">
      <w:pPr>
        <w:pStyle w:val="Figureheading"/>
      </w:pPr>
      <w:bookmarkStart w:id="7" w:name="_Toc432077585"/>
      <w:r>
        <w:t>Figure 4 Burden of disease by cause (YLDs per 1000) of those aged 50-64,</w:t>
      </w:r>
    </w:p>
    <w:p w:rsidR="00063666" w:rsidRPr="00952DEE" w:rsidRDefault="00063666" w:rsidP="00063666">
      <w:pPr>
        <w:pStyle w:val="Figureheading"/>
      </w:pPr>
      <w:r>
        <w:t xml:space="preserve"> Jiangsu and selected countries, </w:t>
      </w:r>
      <w:bookmarkEnd w:id="7"/>
      <w:r>
        <w:t xml:space="preserve">2013 </w:t>
      </w:r>
    </w:p>
    <w:p w:rsidR="00063666" w:rsidRDefault="001A16EE" w:rsidP="00063666">
      <w:pPr>
        <w:pStyle w:val="Figureheading"/>
      </w:pPr>
      <w:r>
        <w:rPr>
          <w:noProof/>
          <w:lang w:val="en-AU"/>
        </w:rPr>
        <w:drawing>
          <wp:inline distT="0" distB="0" distL="0" distR="0" wp14:anchorId="0C7367F2" wp14:editId="42675D38">
            <wp:extent cx="4572000" cy="2933700"/>
            <wp:effectExtent l="0" t="0" r="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063666" w:rsidRPr="00516500" w:rsidRDefault="00063666" w:rsidP="00063666">
      <w:pPr>
        <w:spacing w:after="0"/>
        <w:rPr>
          <w:rFonts w:eastAsia="Calibri" w:cs="Times New Roman"/>
          <w:sz w:val="18"/>
          <w:szCs w:val="16"/>
        </w:rPr>
      </w:pPr>
      <w:r w:rsidRPr="00516500">
        <w:rPr>
          <w:rFonts w:eastAsia="Calibri" w:cs="Times New Roman"/>
          <w:sz w:val="18"/>
          <w:szCs w:val="16"/>
        </w:rPr>
        <w:t>Source: IHME (2016)</w:t>
      </w:r>
      <w:r w:rsidR="005E5CB1" w:rsidRPr="00516500">
        <w:rPr>
          <w:rFonts w:eastAsia="Calibri" w:cs="Times New Roman"/>
          <w:sz w:val="18"/>
          <w:szCs w:val="16"/>
        </w:rPr>
        <w:t>;</w:t>
      </w:r>
      <w:r w:rsidRPr="00516500">
        <w:rPr>
          <w:rFonts w:eastAsia="Calibri" w:cs="Times New Roman"/>
          <w:sz w:val="18"/>
          <w:szCs w:val="16"/>
        </w:rPr>
        <w:t xml:space="preserve"> </w:t>
      </w:r>
      <w:proofErr w:type="spellStart"/>
      <w:r w:rsidRPr="00516500">
        <w:rPr>
          <w:rFonts w:eastAsia="Calibri" w:cs="Times New Roman"/>
          <w:sz w:val="18"/>
          <w:szCs w:val="16"/>
        </w:rPr>
        <w:t>Healthgrove</w:t>
      </w:r>
      <w:proofErr w:type="spellEnd"/>
      <w:r w:rsidRPr="00516500">
        <w:rPr>
          <w:rFonts w:eastAsia="Calibri" w:cs="Times New Roman"/>
          <w:sz w:val="18"/>
          <w:szCs w:val="16"/>
        </w:rPr>
        <w:t xml:space="preserve"> </w:t>
      </w:r>
      <w:r w:rsidR="005E5CB1" w:rsidRPr="00516500">
        <w:rPr>
          <w:rFonts w:eastAsia="Calibri" w:cs="Times New Roman"/>
          <w:sz w:val="18"/>
          <w:szCs w:val="16"/>
        </w:rPr>
        <w:t xml:space="preserve">(2017); </w:t>
      </w:r>
      <w:r w:rsidRPr="00516500">
        <w:rPr>
          <w:rFonts w:eastAsia="Calibri" w:cs="Times New Roman"/>
          <w:sz w:val="18"/>
          <w:szCs w:val="16"/>
        </w:rPr>
        <w:t xml:space="preserve">VISES estimates. </w:t>
      </w:r>
    </w:p>
    <w:p w:rsidR="00063666" w:rsidRDefault="00063666" w:rsidP="005B2D9B">
      <w:pPr>
        <w:rPr>
          <w:lang w:eastAsia="en-AU"/>
        </w:rPr>
      </w:pPr>
    </w:p>
    <w:p w:rsidR="004639EC" w:rsidRDefault="007F7395" w:rsidP="005B2D9B">
      <w:pPr>
        <w:rPr>
          <w:lang w:eastAsia="en-AU"/>
        </w:rPr>
      </w:pPr>
      <w:r>
        <w:rPr>
          <w:lang w:eastAsia="en-AU"/>
        </w:rPr>
        <w:t>As we have no published detailed data for YLD</w:t>
      </w:r>
      <w:r w:rsidR="00D268EC">
        <w:rPr>
          <w:lang w:eastAsia="en-AU"/>
        </w:rPr>
        <w:t>s</w:t>
      </w:r>
      <w:r>
        <w:rPr>
          <w:lang w:eastAsia="en-AU"/>
        </w:rPr>
        <w:t xml:space="preserve"> for Jiangsu</w:t>
      </w:r>
      <w:r w:rsidR="00201BF8">
        <w:rPr>
          <w:lang w:eastAsia="en-AU"/>
        </w:rPr>
        <w:t>,</w:t>
      </w:r>
      <w:r>
        <w:rPr>
          <w:lang w:eastAsia="en-AU"/>
        </w:rPr>
        <w:t xml:space="preserve"> we will use </w:t>
      </w:r>
      <w:r w:rsidR="00D724F6">
        <w:rPr>
          <w:lang w:eastAsia="en-AU"/>
        </w:rPr>
        <w:t>a</w:t>
      </w:r>
      <w:r>
        <w:rPr>
          <w:lang w:eastAsia="en-AU"/>
        </w:rPr>
        <w:t>ge-standardised death rates (per 100,00</w:t>
      </w:r>
      <w:r w:rsidR="001519B8">
        <w:rPr>
          <w:lang w:eastAsia="en-AU"/>
        </w:rPr>
        <w:t>0</w:t>
      </w:r>
      <w:r>
        <w:rPr>
          <w:lang w:eastAsia="en-AU"/>
        </w:rPr>
        <w:t xml:space="preserve"> people) for leading causes in China</w:t>
      </w:r>
      <w:r w:rsidR="00D268EC">
        <w:rPr>
          <w:lang w:eastAsia="en-AU"/>
        </w:rPr>
        <w:t>’s</w:t>
      </w:r>
      <w:r>
        <w:rPr>
          <w:lang w:eastAsia="en-AU"/>
        </w:rPr>
        <w:t xml:space="preserve"> provinces as published in </w:t>
      </w:r>
      <w:r w:rsidR="00201BF8" w:rsidRPr="005E5CB1">
        <w:rPr>
          <w:i/>
          <w:lang w:eastAsia="en-AU"/>
        </w:rPr>
        <w:t xml:space="preserve">The </w:t>
      </w:r>
      <w:r w:rsidRPr="005E5CB1">
        <w:rPr>
          <w:i/>
          <w:lang w:eastAsia="en-AU"/>
        </w:rPr>
        <w:t>Lancet</w:t>
      </w:r>
      <w:r>
        <w:rPr>
          <w:lang w:eastAsia="en-AU"/>
        </w:rPr>
        <w:t xml:space="preserve"> (</w:t>
      </w:r>
      <w:proofErr w:type="spellStart"/>
      <w:r w:rsidR="00F65FCA" w:rsidRPr="00F65FCA">
        <w:rPr>
          <w:lang w:eastAsia="en-AU"/>
        </w:rPr>
        <w:t>Maigeng</w:t>
      </w:r>
      <w:proofErr w:type="spellEnd"/>
      <w:r w:rsidR="00F65FCA" w:rsidRPr="00F65FCA">
        <w:rPr>
          <w:lang w:eastAsia="en-AU"/>
        </w:rPr>
        <w:t xml:space="preserve"> Zhou, et al</w:t>
      </w:r>
      <w:r w:rsidR="005E5CB1">
        <w:rPr>
          <w:lang w:eastAsia="en-AU"/>
        </w:rPr>
        <w:t>.</w:t>
      </w:r>
      <w:r w:rsidR="00F65FCA" w:rsidRPr="00F65FCA">
        <w:rPr>
          <w:lang w:eastAsia="en-AU"/>
        </w:rPr>
        <w:t xml:space="preserve"> </w:t>
      </w:r>
      <w:r>
        <w:rPr>
          <w:lang w:eastAsia="en-AU"/>
        </w:rPr>
        <w:t>2016)</w:t>
      </w:r>
      <w:r w:rsidR="00201BF8">
        <w:rPr>
          <w:lang w:eastAsia="en-AU"/>
        </w:rPr>
        <w:t>.</w:t>
      </w:r>
      <w:r>
        <w:rPr>
          <w:lang w:eastAsia="en-AU"/>
        </w:rPr>
        <w:t xml:space="preserve"> </w:t>
      </w:r>
      <w:r w:rsidR="00D268EC">
        <w:rPr>
          <w:lang w:eastAsia="en-AU"/>
        </w:rPr>
        <w:t xml:space="preserve">As </w:t>
      </w:r>
      <w:r>
        <w:rPr>
          <w:lang w:eastAsia="en-AU"/>
        </w:rPr>
        <w:t xml:space="preserve">Zhejiang </w:t>
      </w:r>
      <w:r w:rsidR="004937E2">
        <w:rPr>
          <w:lang w:eastAsia="en-AU"/>
        </w:rPr>
        <w:t xml:space="preserve">borders Jiangsu and </w:t>
      </w:r>
      <w:r>
        <w:rPr>
          <w:lang w:eastAsia="en-AU"/>
        </w:rPr>
        <w:t xml:space="preserve">has a similar economy </w:t>
      </w:r>
      <w:r w:rsidR="004937E2">
        <w:rPr>
          <w:lang w:eastAsia="en-AU"/>
        </w:rPr>
        <w:t>(49.6% Tertiary, 46% Secondary and 4.3</w:t>
      </w:r>
      <w:r w:rsidR="00417E22">
        <w:rPr>
          <w:lang w:eastAsia="en-AU"/>
        </w:rPr>
        <w:t>%</w:t>
      </w:r>
      <w:r w:rsidR="004937E2">
        <w:rPr>
          <w:lang w:eastAsia="en-AU"/>
        </w:rPr>
        <w:t xml:space="preserve"> Primary) </w:t>
      </w:r>
      <w:r>
        <w:rPr>
          <w:lang w:eastAsia="en-AU"/>
        </w:rPr>
        <w:t>to Jiangsu</w:t>
      </w:r>
      <w:r w:rsidR="00201BF8">
        <w:rPr>
          <w:lang w:eastAsia="en-AU"/>
        </w:rPr>
        <w:t>,</w:t>
      </w:r>
      <w:r w:rsidR="00D268EC">
        <w:rPr>
          <w:lang w:eastAsia="en-AU"/>
        </w:rPr>
        <w:t xml:space="preserve"> we will use it as a comparator</w:t>
      </w:r>
      <w:r w:rsidR="00201BF8">
        <w:rPr>
          <w:lang w:eastAsia="en-AU"/>
        </w:rPr>
        <w:t>,</w:t>
      </w:r>
      <w:r w:rsidR="004639EC">
        <w:rPr>
          <w:lang w:eastAsia="en-AU"/>
        </w:rPr>
        <w:t xml:space="preserve"> as well as China.</w:t>
      </w:r>
    </w:p>
    <w:p w:rsidR="00201BF8" w:rsidRDefault="00201BF8">
      <w:pPr>
        <w:spacing w:after="160" w:line="259" w:lineRule="auto"/>
        <w:rPr>
          <w:b/>
          <w:sz w:val="20"/>
          <w:lang w:val="en-US" w:eastAsia="en-AU"/>
        </w:rPr>
      </w:pPr>
      <w:r>
        <w:br w:type="page"/>
      </w:r>
    </w:p>
    <w:p w:rsidR="007F7395" w:rsidRDefault="004639EC" w:rsidP="00063666">
      <w:pPr>
        <w:pStyle w:val="Figureheading"/>
      </w:pPr>
      <w:r>
        <w:lastRenderedPageBreak/>
        <w:t xml:space="preserve">Table </w:t>
      </w:r>
      <w:r w:rsidR="00232158">
        <w:t>1A</w:t>
      </w:r>
      <w:r>
        <w:t xml:space="preserve"> Age-</w:t>
      </w:r>
      <w:proofErr w:type="spellStart"/>
      <w:r>
        <w:t>standardised</w:t>
      </w:r>
      <w:proofErr w:type="spellEnd"/>
      <w:r>
        <w:t xml:space="preserve"> death rates </w:t>
      </w:r>
      <w:r w:rsidR="00063666">
        <w:t xml:space="preserve">for men </w:t>
      </w:r>
      <w:r>
        <w:t>(100,0</w:t>
      </w:r>
      <w:r w:rsidR="00063666">
        <w:t>0</w:t>
      </w:r>
      <w:r>
        <w:t>0 per people) leading causes</w:t>
      </w:r>
      <w:r w:rsidR="00201BF8">
        <w:t>,</w:t>
      </w:r>
      <w:r>
        <w:t xml:space="preserve"> China and provinces</w:t>
      </w:r>
      <w:r w:rsidR="00201BF8">
        <w:t xml:space="preserve">, </w:t>
      </w:r>
      <w:r>
        <w:t>2013</w:t>
      </w:r>
      <w:r w:rsidR="00D268EC">
        <w:t xml:space="preserve"> </w:t>
      </w:r>
    </w:p>
    <w:tbl>
      <w:tblPr>
        <w:tblStyle w:val="LightList-Accent11"/>
        <w:tblW w:w="0" w:type="auto"/>
        <w:tblLook w:val="0420" w:firstRow="1" w:lastRow="0" w:firstColumn="0" w:lastColumn="0" w:noHBand="0" w:noVBand="1"/>
      </w:tblPr>
      <w:tblGrid>
        <w:gridCol w:w="2337"/>
        <w:gridCol w:w="1769"/>
        <w:gridCol w:w="1769"/>
        <w:gridCol w:w="1770"/>
      </w:tblGrid>
      <w:tr w:rsidR="005E5CB1" w:rsidRPr="005E5CB1" w:rsidTr="005E5CB1">
        <w:trPr>
          <w:cnfStyle w:val="100000000000" w:firstRow="1" w:lastRow="0" w:firstColumn="0" w:lastColumn="0" w:oddVBand="0" w:evenVBand="0" w:oddHBand="0" w:evenHBand="0" w:firstRowFirstColumn="0" w:firstRowLastColumn="0" w:lastRowFirstColumn="0" w:lastRowLastColumn="0"/>
        </w:trPr>
        <w:tc>
          <w:tcPr>
            <w:tcW w:w="2337" w:type="dxa"/>
          </w:tcPr>
          <w:p w:rsidR="004639EC" w:rsidRPr="005E5CB1" w:rsidRDefault="004639EC" w:rsidP="00563642">
            <w:pPr>
              <w:spacing w:after="0"/>
              <w:rPr>
                <w:rFonts w:asciiTheme="minorHAnsi" w:hAnsiTheme="minorHAnsi" w:cstheme="minorHAnsi"/>
                <w:sz w:val="18"/>
                <w:szCs w:val="18"/>
              </w:rPr>
            </w:pPr>
            <w:r w:rsidRPr="005E5CB1">
              <w:rPr>
                <w:rFonts w:asciiTheme="minorHAnsi" w:hAnsiTheme="minorHAnsi" w:cstheme="minorHAnsi"/>
                <w:sz w:val="18"/>
                <w:szCs w:val="18"/>
              </w:rPr>
              <w:t>Cause of death</w:t>
            </w:r>
          </w:p>
        </w:tc>
        <w:tc>
          <w:tcPr>
            <w:tcW w:w="1769" w:type="dxa"/>
          </w:tcPr>
          <w:p w:rsidR="004639EC" w:rsidRPr="005E5CB1" w:rsidRDefault="004639EC" w:rsidP="00396C98">
            <w:pPr>
              <w:spacing w:after="0"/>
              <w:jc w:val="center"/>
              <w:rPr>
                <w:rFonts w:asciiTheme="minorHAnsi" w:hAnsiTheme="minorHAnsi" w:cstheme="minorHAnsi"/>
                <w:sz w:val="18"/>
                <w:szCs w:val="18"/>
              </w:rPr>
            </w:pPr>
            <w:r w:rsidRPr="005E5CB1">
              <w:rPr>
                <w:rFonts w:asciiTheme="minorHAnsi" w:hAnsiTheme="minorHAnsi" w:cstheme="minorHAnsi"/>
                <w:sz w:val="18"/>
                <w:szCs w:val="18"/>
              </w:rPr>
              <w:t>Jiangsu</w:t>
            </w:r>
          </w:p>
        </w:tc>
        <w:tc>
          <w:tcPr>
            <w:tcW w:w="1769" w:type="dxa"/>
          </w:tcPr>
          <w:p w:rsidR="004639EC" w:rsidRPr="005E5CB1" w:rsidRDefault="004639EC" w:rsidP="00396C98">
            <w:pPr>
              <w:spacing w:after="0"/>
              <w:jc w:val="center"/>
              <w:rPr>
                <w:rFonts w:asciiTheme="minorHAnsi" w:hAnsiTheme="minorHAnsi" w:cstheme="minorHAnsi"/>
                <w:sz w:val="18"/>
                <w:szCs w:val="18"/>
              </w:rPr>
            </w:pPr>
            <w:r w:rsidRPr="005E5CB1">
              <w:rPr>
                <w:rFonts w:asciiTheme="minorHAnsi" w:hAnsiTheme="minorHAnsi" w:cstheme="minorHAnsi"/>
                <w:sz w:val="18"/>
                <w:szCs w:val="18"/>
              </w:rPr>
              <w:t>Zhejiang</w:t>
            </w:r>
          </w:p>
        </w:tc>
        <w:tc>
          <w:tcPr>
            <w:tcW w:w="1770" w:type="dxa"/>
          </w:tcPr>
          <w:p w:rsidR="004639EC" w:rsidRPr="005E5CB1" w:rsidRDefault="004639EC" w:rsidP="00396C98">
            <w:pPr>
              <w:spacing w:after="0"/>
              <w:jc w:val="center"/>
              <w:rPr>
                <w:rFonts w:asciiTheme="minorHAnsi" w:hAnsiTheme="minorHAnsi" w:cstheme="minorHAnsi"/>
                <w:sz w:val="18"/>
                <w:szCs w:val="18"/>
              </w:rPr>
            </w:pPr>
            <w:r w:rsidRPr="005E5CB1">
              <w:rPr>
                <w:rFonts w:asciiTheme="minorHAnsi" w:hAnsiTheme="minorHAnsi" w:cstheme="minorHAnsi"/>
                <w:sz w:val="18"/>
                <w:szCs w:val="18"/>
              </w:rPr>
              <w:t>China</w:t>
            </w:r>
          </w:p>
        </w:tc>
      </w:tr>
      <w:tr w:rsidR="004639EC" w:rsidRPr="00201BF8" w:rsidTr="005E5CB1">
        <w:trPr>
          <w:cnfStyle w:val="000000100000" w:firstRow="0" w:lastRow="0" w:firstColumn="0" w:lastColumn="0" w:oddVBand="0" w:evenVBand="0" w:oddHBand="1" w:evenHBand="0" w:firstRowFirstColumn="0" w:firstRowLastColumn="0" w:lastRowFirstColumn="0" w:lastRowLastColumn="0"/>
        </w:trPr>
        <w:tc>
          <w:tcPr>
            <w:tcW w:w="2337" w:type="dxa"/>
          </w:tcPr>
          <w:p w:rsidR="004639EC" w:rsidRPr="00396C98" w:rsidRDefault="004639EC" w:rsidP="00563642">
            <w:pPr>
              <w:spacing w:after="0"/>
              <w:rPr>
                <w:rFonts w:asciiTheme="minorHAnsi" w:hAnsiTheme="minorHAnsi" w:cstheme="minorHAnsi"/>
                <w:color w:val="000000"/>
                <w:sz w:val="18"/>
                <w:szCs w:val="18"/>
              </w:rPr>
            </w:pPr>
            <w:r w:rsidRPr="00396C98">
              <w:rPr>
                <w:rFonts w:asciiTheme="minorHAnsi" w:hAnsiTheme="minorHAnsi" w:cstheme="minorHAnsi"/>
                <w:color w:val="000000"/>
                <w:sz w:val="18"/>
                <w:szCs w:val="18"/>
              </w:rPr>
              <w:t>Cerebrovascular disease</w:t>
            </w:r>
          </w:p>
        </w:tc>
        <w:tc>
          <w:tcPr>
            <w:tcW w:w="1769" w:type="dxa"/>
          </w:tcPr>
          <w:p w:rsidR="004639EC" w:rsidRPr="00396C98" w:rsidRDefault="004639EC" w:rsidP="00516500">
            <w:pPr>
              <w:spacing w:after="0"/>
              <w:jc w:val="center"/>
              <w:rPr>
                <w:rFonts w:asciiTheme="minorHAnsi" w:hAnsiTheme="minorHAnsi" w:cstheme="minorHAnsi"/>
                <w:color w:val="000000"/>
                <w:sz w:val="18"/>
                <w:szCs w:val="18"/>
              </w:rPr>
            </w:pPr>
            <w:r w:rsidRPr="00396C98">
              <w:rPr>
                <w:rFonts w:asciiTheme="minorHAnsi" w:hAnsiTheme="minorHAnsi" w:cstheme="minorHAnsi"/>
                <w:color w:val="000000"/>
                <w:sz w:val="18"/>
                <w:szCs w:val="18"/>
              </w:rPr>
              <w:t>151</w:t>
            </w:r>
            <w:r w:rsidR="00516500">
              <w:rPr>
                <w:rFonts w:asciiTheme="minorHAnsi" w:hAnsiTheme="minorHAnsi" w:cstheme="minorHAnsi"/>
                <w:color w:val="000000"/>
                <w:sz w:val="18"/>
                <w:szCs w:val="18"/>
              </w:rPr>
              <w:t>.</w:t>
            </w:r>
            <w:r w:rsidRPr="00396C98">
              <w:rPr>
                <w:rFonts w:asciiTheme="minorHAnsi" w:hAnsiTheme="minorHAnsi" w:cstheme="minorHAnsi"/>
                <w:color w:val="000000"/>
                <w:sz w:val="18"/>
                <w:szCs w:val="18"/>
              </w:rPr>
              <w:t>8</w:t>
            </w:r>
          </w:p>
        </w:tc>
        <w:tc>
          <w:tcPr>
            <w:tcW w:w="1769" w:type="dxa"/>
          </w:tcPr>
          <w:p w:rsidR="004639EC" w:rsidRPr="00396C98" w:rsidRDefault="004639EC" w:rsidP="00396C98">
            <w:pPr>
              <w:spacing w:after="0"/>
              <w:jc w:val="center"/>
              <w:rPr>
                <w:rFonts w:asciiTheme="minorHAnsi" w:hAnsiTheme="minorHAnsi" w:cstheme="minorHAnsi"/>
                <w:color w:val="000000"/>
                <w:sz w:val="18"/>
                <w:szCs w:val="18"/>
              </w:rPr>
            </w:pPr>
            <w:r w:rsidRPr="00396C98">
              <w:rPr>
                <w:rFonts w:asciiTheme="minorHAnsi" w:hAnsiTheme="minorHAnsi" w:cstheme="minorHAnsi"/>
                <w:color w:val="000000"/>
                <w:sz w:val="18"/>
                <w:szCs w:val="18"/>
              </w:rPr>
              <w:t>113</w:t>
            </w:r>
            <w:r w:rsidR="00516500">
              <w:rPr>
                <w:rFonts w:asciiTheme="minorHAnsi" w:hAnsiTheme="minorHAnsi" w:cstheme="minorHAnsi"/>
                <w:color w:val="000000"/>
                <w:sz w:val="18"/>
                <w:szCs w:val="18"/>
              </w:rPr>
              <w:t>.</w:t>
            </w:r>
            <w:r w:rsidRPr="00396C98">
              <w:rPr>
                <w:rFonts w:asciiTheme="minorHAnsi" w:hAnsiTheme="minorHAnsi" w:cstheme="minorHAnsi"/>
                <w:color w:val="000000"/>
                <w:sz w:val="18"/>
                <w:szCs w:val="18"/>
              </w:rPr>
              <w:t>4</w:t>
            </w:r>
          </w:p>
        </w:tc>
        <w:tc>
          <w:tcPr>
            <w:tcW w:w="1770" w:type="dxa"/>
          </w:tcPr>
          <w:p w:rsidR="004639EC" w:rsidRPr="00396C98" w:rsidRDefault="004639EC" w:rsidP="00396C98">
            <w:pPr>
              <w:spacing w:after="0"/>
              <w:jc w:val="center"/>
              <w:rPr>
                <w:rFonts w:asciiTheme="minorHAnsi" w:hAnsiTheme="minorHAnsi" w:cstheme="minorHAnsi"/>
                <w:color w:val="000000"/>
                <w:sz w:val="18"/>
                <w:szCs w:val="18"/>
              </w:rPr>
            </w:pPr>
            <w:r w:rsidRPr="00396C98">
              <w:rPr>
                <w:rFonts w:asciiTheme="minorHAnsi" w:hAnsiTheme="minorHAnsi" w:cstheme="minorHAnsi"/>
                <w:color w:val="000000"/>
                <w:sz w:val="18"/>
                <w:szCs w:val="18"/>
              </w:rPr>
              <w:t>188</w:t>
            </w:r>
            <w:r w:rsidR="00516500">
              <w:rPr>
                <w:rFonts w:asciiTheme="minorHAnsi" w:hAnsiTheme="minorHAnsi" w:cstheme="minorHAnsi"/>
                <w:color w:val="000000"/>
                <w:sz w:val="18"/>
                <w:szCs w:val="18"/>
              </w:rPr>
              <w:t>.</w:t>
            </w:r>
            <w:r w:rsidRPr="00396C98">
              <w:rPr>
                <w:rFonts w:asciiTheme="minorHAnsi" w:hAnsiTheme="minorHAnsi" w:cstheme="minorHAnsi"/>
                <w:color w:val="000000"/>
                <w:sz w:val="18"/>
                <w:szCs w:val="18"/>
              </w:rPr>
              <w:t>9</w:t>
            </w:r>
          </w:p>
        </w:tc>
      </w:tr>
      <w:tr w:rsidR="004639EC" w:rsidRPr="00201BF8" w:rsidTr="005E5CB1">
        <w:tc>
          <w:tcPr>
            <w:tcW w:w="2337" w:type="dxa"/>
          </w:tcPr>
          <w:p w:rsidR="004639EC" w:rsidRPr="00396C98" w:rsidRDefault="004639EC" w:rsidP="00563642">
            <w:pPr>
              <w:spacing w:after="0"/>
              <w:rPr>
                <w:rFonts w:asciiTheme="minorHAnsi" w:hAnsiTheme="minorHAnsi" w:cstheme="minorHAnsi"/>
                <w:color w:val="000000"/>
                <w:sz w:val="18"/>
                <w:szCs w:val="18"/>
              </w:rPr>
            </w:pPr>
            <w:proofErr w:type="spellStart"/>
            <w:r w:rsidRPr="00396C98">
              <w:rPr>
                <w:rFonts w:asciiTheme="minorHAnsi" w:hAnsiTheme="minorHAnsi" w:cstheme="minorHAnsi"/>
                <w:color w:val="000000"/>
                <w:sz w:val="18"/>
                <w:szCs w:val="18"/>
              </w:rPr>
              <w:t>Ischaemic</w:t>
            </w:r>
            <w:proofErr w:type="spellEnd"/>
            <w:r w:rsidRPr="00396C98">
              <w:rPr>
                <w:rFonts w:asciiTheme="minorHAnsi" w:hAnsiTheme="minorHAnsi" w:cstheme="minorHAnsi"/>
                <w:color w:val="000000"/>
                <w:sz w:val="18"/>
                <w:szCs w:val="18"/>
              </w:rPr>
              <w:t xml:space="preserve"> heart disease</w:t>
            </w:r>
          </w:p>
        </w:tc>
        <w:tc>
          <w:tcPr>
            <w:tcW w:w="1769" w:type="dxa"/>
          </w:tcPr>
          <w:p w:rsidR="004639EC" w:rsidRPr="00396C98" w:rsidRDefault="00516500" w:rsidP="00396C98">
            <w:pPr>
              <w:spacing w:after="0"/>
              <w:jc w:val="center"/>
              <w:rPr>
                <w:rFonts w:asciiTheme="minorHAnsi" w:hAnsiTheme="minorHAnsi" w:cstheme="minorHAnsi"/>
                <w:color w:val="000000"/>
                <w:sz w:val="18"/>
                <w:szCs w:val="18"/>
              </w:rPr>
            </w:pPr>
            <w:r>
              <w:rPr>
                <w:rFonts w:asciiTheme="minorHAnsi" w:hAnsiTheme="minorHAnsi" w:cstheme="minorHAnsi"/>
                <w:color w:val="000000"/>
                <w:sz w:val="18"/>
                <w:szCs w:val="18"/>
              </w:rPr>
              <w:t>89.</w:t>
            </w:r>
            <w:r w:rsidR="004639EC" w:rsidRPr="00396C98">
              <w:rPr>
                <w:rFonts w:asciiTheme="minorHAnsi" w:hAnsiTheme="minorHAnsi" w:cstheme="minorHAnsi"/>
                <w:color w:val="000000"/>
                <w:sz w:val="18"/>
                <w:szCs w:val="18"/>
              </w:rPr>
              <w:t>5</w:t>
            </w:r>
          </w:p>
        </w:tc>
        <w:tc>
          <w:tcPr>
            <w:tcW w:w="1769" w:type="dxa"/>
          </w:tcPr>
          <w:p w:rsidR="004639EC" w:rsidRPr="00396C98" w:rsidRDefault="00516500" w:rsidP="00396C98">
            <w:pPr>
              <w:spacing w:after="0"/>
              <w:jc w:val="center"/>
              <w:rPr>
                <w:rFonts w:asciiTheme="minorHAnsi" w:hAnsiTheme="minorHAnsi" w:cstheme="minorHAnsi"/>
                <w:color w:val="000000"/>
                <w:sz w:val="18"/>
                <w:szCs w:val="18"/>
              </w:rPr>
            </w:pPr>
            <w:r>
              <w:rPr>
                <w:rFonts w:asciiTheme="minorHAnsi" w:hAnsiTheme="minorHAnsi" w:cstheme="minorHAnsi"/>
                <w:color w:val="000000"/>
                <w:sz w:val="18"/>
                <w:szCs w:val="18"/>
              </w:rPr>
              <w:t>50.</w:t>
            </w:r>
            <w:r w:rsidR="004639EC" w:rsidRPr="00396C98">
              <w:rPr>
                <w:rFonts w:asciiTheme="minorHAnsi" w:hAnsiTheme="minorHAnsi" w:cstheme="minorHAnsi"/>
                <w:color w:val="000000"/>
                <w:sz w:val="18"/>
                <w:szCs w:val="18"/>
              </w:rPr>
              <w:t>2</w:t>
            </w:r>
          </w:p>
        </w:tc>
        <w:tc>
          <w:tcPr>
            <w:tcW w:w="1770" w:type="dxa"/>
          </w:tcPr>
          <w:p w:rsidR="004639EC" w:rsidRPr="00396C98" w:rsidRDefault="00516500" w:rsidP="00396C98">
            <w:pPr>
              <w:spacing w:after="0"/>
              <w:jc w:val="center"/>
              <w:rPr>
                <w:rFonts w:asciiTheme="minorHAnsi" w:hAnsiTheme="minorHAnsi" w:cstheme="minorHAnsi"/>
                <w:color w:val="000000"/>
                <w:sz w:val="18"/>
                <w:szCs w:val="18"/>
              </w:rPr>
            </w:pPr>
            <w:r>
              <w:rPr>
                <w:rFonts w:asciiTheme="minorHAnsi" w:hAnsiTheme="minorHAnsi" w:cstheme="minorHAnsi"/>
                <w:color w:val="000000"/>
                <w:sz w:val="18"/>
                <w:szCs w:val="18"/>
              </w:rPr>
              <w:t>13.</w:t>
            </w:r>
            <w:r w:rsidR="004639EC" w:rsidRPr="00396C98">
              <w:rPr>
                <w:rFonts w:asciiTheme="minorHAnsi" w:hAnsiTheme="minorHAnsi" w:cstheme="minorHAnsi"/>
                <w:color w:val="000000"/>
                <w:sz w:val="18"/>
                <w:szCs w:val="18"/>
              </w:rPr>
              <w:t>6</w:t>
            </w:r>
          </w:p>
        </w:tc>
      </w:tr>
      <w:tr w:rsidR="004639EC" w:rsidRPr="00201BF8" w:rsidTr="005E5CB1">
        <w:trPr>
          <w:cnfStyle w:val="000000100000" w:firstRow="0" w:lastRow="0" w:firstColumn="0" w:lastColumn="0" w:oddVBand="0" w:evenVBand="0" w:oddHBand="1" w:evenHBand="0" w:firstRowFirstColumn="0" w:firstRowLastColumn="0" w:lastRowFirstColumn="0" w:lastRowLastColumn="0"/>
        </w:trPr>
        <w:tc>
          <w:tcPr>
            <w:tcW w:w="2337" w:type="dxa"/>
          </w:tcPr>
          <w:p w:rsidR="004639EC" w:rsidRPr="00396C98" w:rsidRDefault="004639EC" w:rsidP="00563642">
            <w:pPr>
              <w:spacing w:after="0"/>
              <w:rPr>
                <w:rFonts w:asciiTheme="minorHAnsi" w:hAnsiTheme="minorHAnsi" w:cstheme="minorHAnsi"/>
                <w:color w:val="000000"/>
                <w:sz w:val="18"/>
                <w:szCs w:val="18"/>
              </w:rPr>
            </w:pPr>
            <w:r w:rsidRPr="00396C98">
              <w:rPr>
                <w:rFonts w:asciiTheme="minorHAnsi" w:hAnsiTheme="minorHAnsi" w:cstheme="minorHAnsi"/>
                <w:color w:val="000000"/>
                <w:sz w:val="18"/>
                <w:szCs w:val="18"/>
              </w:rPr>
              <w:t>COPD</w:t>
            </w:r>
          </w:p>
        </w:tc>
        <w:tc>
          <w:tcPr>
            <w:tcW w:w="1769" w:type="dxa"/>
          </w:tcPr>
          <w:p w:rsidR="004639EC" w:rsidRPr="00396C98" w:rsidRDefault="00516500" w:rsidP="00396C98">
            <w:pPr>
              <w:spacing w:after="0"/>
              <w:jc w:val="center"/>
              <w:rPr>
                <w:rFonts w:asciiTheme="minorHAnsi" w:hAnsiTheme="minorHAnsi" w:cstheme="minorHAnsi"/>
                <w:color w:val="000000"/>
                <w:sz w:val="18"/>
                <w:szCs w:val="18"/>
              </w:rPr>
            </w:pPr>
            <w:r>
              <w:rPr>
                <w:rFonts w:asciiTheme="minorHAnsi" w:hAnsiTheme="minorHAnsi" w:cstheme="minorHAnsi"/>
                <w:color w:val="000000"/>
                <w:sz w:val="18"/>
                <w:szCs w:val="18"/>
              </w:rPr>
              <w:t>80.</w:t>
            </w:r>
            <w:r w:rsidR="004639EC" w:rsidRPr="00396C98">
              <w:rPr>
                <w:rFonts w:asciiTheme="minorHAnsi" w:hAnsiTheme="minorHAnsi" w:cstheme="minorHAnsi"/>
                <w:color w:val="000000"/>
                <w:sz w:val="18"/>
                <w:szCs w:val="18"/>
              </w:rPr>
              <w:t>9</w:t>
            </w:r>
          </w:p>
        </w:tc>
        <w:tc>
          <w:tcPr>
            <w:tcW w:w="1769" w:type="dxa"/>
          </w:tcPr>
          <w:p w:rsidR="004639EC" w:rsidRPr="00396C98" w:rsidRDefault="00516500" w:rsidP="00396C98">
            <w:pPr>
              <w:spacing w:after="0"/>
              <w:jc w:val="center"/>
              <w:rPr>
                <w:rFonts w:asciiTheme="minorHAnsi" w:hAnsiTheme="minorHAnsi" w:cstheme="minorHAnsi"/>
                <w:color w:val="000000"/>
                <w:sz w:val="18"/>
                <w:szCs w:val="18"/>
              </w:rPr>
            </w:pPr>
            <w:r>
              <w:rPr>
                <w:rFonts w:asciiTheme="minorHAnsi" w:hAnsiTheme="minorHAnsi" w:cstheme="minorHAnsi"/>
                <w:color w:val="000000"/>
                <w:sz w:val="18"/>
                <w:szCs w:val="18"/>
              </w:rPr>
              <w:t>86.</w:t>
            </w:r>
            <w:r w:rsidR="004639EC" w:rsidRPr="00396C98">
              <w:rPr>
                <w:rFonts w:asciiTheme="minorHAnsi" w:hAnsiTheme="minorHAnsi" w:cstheme="minorHAnsi"/>
                <w:color w:val="000000"/>
                <w:sz w:val="18"/>
                <w:szCs w:val="18"/>
              </w:rPr>
              <w:t>9</w:t>
            </w:r>
          </w:p>
        </w:tc>
        <w:tc>
          <w:tcPr>
            <w:tcW w:w="1770" w:type="dxa"/>
          </w:tcPr>
          <w:p w:rsidR="004639EC" w:rsidRPr="00396C98" w:rsidRDefault="00516500" w:rsidP="00396C98">
            <w:pPr>
              <w:spacing w:after="0"/>
              <w:jc w:val="center"/>
              <w:rPr>
                <w:rFonts w:asciiTheme="minorHAnsi" w:hAnsiTheme="minorHAnsi" w:cstheme="minorHAnsi"/>
                <w:color w:val="000000"/>
                <w:sz w:val="18"/>
                <w:szCs w:val="18"/>
              </w:rPr>
            </w:pPr>
            <w:r>
              <w:rPr>
                <w:rFonts w:asciiTheme="minorHAnsi" w:hAnsiTheme="minorHAnsi" w:cstheme="minorHAnsi"/>
                <w:color w:val="000000"/>
                <w:sz w:val="18"/>
                <w:szCs w:val="18"/>
              </w:rPr>
              <w:t>99.</w:t>
            </w:r>
            <w:r w:rsidR="004639EC" w:rsidRPr="00396C98">
              <w:rPr>
                <w:rFonts w:asciiTheme="minorHAnsi" w:hAnsiTheme="minorHAnsi" w:cstheme="minorHAnsi"/>
                <w:color w:val="000000"/>
                <w:sz w:val="18"/>
                <w:szCs w:val="18"/>
              </w:rPr>
              <w:t>6</w:t>
            </w:r>
          </w:p>
        </w:tc>
      </w:tr>
      <w:tr w:rsidR="004639EC" w:rsidRPr="00201BF8" w:rsidTr="005E5CB1">
        <w:tc>
          <w:tcPr>
            <w:tcW w:w="2337" w:type="dxa"/>
          </w:tcPr>
          <w:p w:rsidR="004639EC" w:rsidRPr="00396C98" w:rsidRDefault="004639EC" w:rsidP="00563642">
            <w:pPr>
              <w:spacing w:after="0"/>
              <w:rPr>
                <w:rFonts w:asciiTheme="minorHAnsi" w:hAnsiTheme="minorHAnsi" w:cstheme="minorHAnsi"/>
                <w:color w:val="000000"/>
                <w:sz w:val="18"/>
                <w:szCs w:val="18"/>
              </w:rPr>
            </w:pPr>
            <w:r w:rsidRPr="00396C98">
              <w:rPr>
                <w:rFonts w:asciiTheme="minorHAnsi" w:hAnsiTheme="minorHAnsi" w:cstheme="minorHAnsi"/>
                <w:color w:val="000000"/>
                <w:sz w:val="18"/>
                <w:szCs w:val="18"/>
              </w:rPr>
              <w:t>Lung cancer</w:t>
            </w:r>
          </w:p>
        </w:tc>
        <w:tc>
          <w:tcPr>
            <w:tcW w:w="1769" w:type="dxa"/>
          </w:tcPr>
          <w:p w:rsidR="004639EC" w:rsidRPr="00396C98" w:rsidRDefault="00516500" w:rsidP="00396C98">
            <w:pPr>
              <w:spacing w:after="0"/>
              <w:jc w:val="center"/>
              <w:rPr>
                <w:rFonts w:asciiTheme="minorHAnsi" w:hAnsiTheme="minorHAnsi" w:cstheme="minorHAnsi"/>
                <w:color w:val="000000"/>
                <w:sz w:val="18"/>
                <w:szCs w:val="18"/>
              </w:rPr>
            </w:pPr>
            <w:r>
              <w:rPr>
                <w:rFonts w:asciiTheme="minorHAnsi" w:hAnsiTheme="minorHAnsi" w:cstheme="minorHAnsi"/>
                <w:color w:val="000000"/>
                <w:sz w:val="18"/>
                <w:szCs w:val="18"/>
              </w:rPr>
              <w:t>54.</w:t>
            </w:r>
            <w:r w:rsidR="004639EC" w:rsidRPr="00396C98">
              <w:rPr>
                <w:rFonts w:asciiTheme="minorHAnsi" w:hAnsiTheme="minorHAnsi" w:cstheme="minorHAnsi"/>
                <w:color w:val="000000"/>
                <w:sz w:val="18"/>
                <w:szCs w:val="18"/>
              </w:rPr>
              <w:t>2</w:t>
            </w:r>
          </w:p>
        </w:tc>
        <w:tc>
          <w:tcPr>
            <w:tcW w:w="1769" w:type="dxa"/>
          </w:tcPr>
          <w:p w:rsidR="004639EC" w:rsidRPr="00396C98" w:rsidRDefault="00516500" w:rsidP="00396C98">
            <w:pPr>
              <w:spacing w:after="0"/>
              <w:jc w:val="center"/>
              <w:rPr>
                <w:rFonts w:asciiTheme="minorHAnsi" w:hAnsiTheme="minorHAnsi" w:cstheme="minorHAnsi"/>
                <w:color w:val="000000"/>
                <w:sz w:val="18"/>
                <w:szCs w:val="18"/>
              </w:rPr>
            </w:pPr>
            <w:r>
              <w:rPr>
                <w:rFonts w:asciiTheme="minorHAnsi" w:hAnsiTheme="minorHAnsi" w:cstheme="minorHAnsi"/>
                <w:color w:val="000000"/>
                <w:sz w:val="18"/>
                <w:szCs w:val="18"/>
              </w:rPr>
              <w:t>60.</w:t>
            </w:r>
            <w:r w:rsidR="004639EC" w:rsidRPr="00396C98">
              <w:rPr>
                <w:rFonts w:asciiTheme="minorHAnsi" w:hAnsiTheme="minorHAnsi" w:cstheme="minorHAnsi"/>
                <w:color w:val="000000"/>
                <w:sz w:val="18"/>
                <w:szCs w:val="18"/>
              </w:rPr>
              <w:t>7</w:t>
            </w:r>
          </w:p>
        </w:tc>
        <w:tc>
          <w:tcPr>
            <w:tcW w:w="1770" w:type="dxa"/>
          </w:tcPr>
          <w:p w:rsidR="004639EC" w:rsidRPr="00396C98" w:rsidRDefault="00516500" w:rsidP="00396C98">
            <w:pPr>
              <w:spacing w:after="0"/>
              <w:jc w:val="center"/>
              <w:rPr>
                <w:rFonts w:asciiTheme="minorHAnsi" w:hAnsiTheme="minorHAnsi" w:cstheme="minorHAnsi"/>
                <w:color w:val="000000"/>
                <w:sz w:val="18"/>
                <w:szCs w:val="18"/>
              </w:rPr>
            </w:pPr>
            <w:r>
              <w:rPr>
                <w:rFonts w:asciiTheme="minorHAnsi" w:hAnsiTheme="minorHAnsi" w:cstheme="minorHAnsi"/>
                <w:color w:val="000000"/>
                <w:sz w:val="18"/>
                <w:szCs w:val="18"/>
              </w:rPr>
              <w:t>60.</w:t>
            </w:r>
            <w:r w:rsidR="004639EC" w:rsidRPr="00396C98">
              <w:rPr>
                <w:rFonts w:asciiTheme="minorHAnsi" w:hAnsiTheme="minorHAnsi" w:cstheme="minorHAnsi"/>
                <w:color w:val="000000"/>
                <w:sz w:val="18"/>
                <w:szCs w:val="18"/>
              </w:rPr>
              <w:t>1</w:t>
            </w:r>
          </w:p>
        </w:tc>
      </w:tr>
      <w:tr w:rsidR="004639EC" w:rsidRPr="00201BF8" w:rsidTr="005E5CB1">
        <w:trPr>
          <w:cnfStyle w:val="000000100000" w:firstRow="0" w:lastRow="0" w:firstColumn="0" w:lastColumn="0" w:oddVBand="0" w:evenVBand="0" w:oddHBand="1" w:evenHBand="0" w:firstRowFirstColumn="0" w:firstRowLastColumn="0" w:lastRowFirstColumn="0" w:lastRowLastColumn="0"/>
        </w:trPr>
        <w:tc>
          <w:tcPr>
            <w:tcW w:w="2337" w:type="dxa"/>
          </w:tcPr>
          <w:p w:rsidR="004639EC" w:rsidRPr="00396C98" w:rsidRDefault="004639EC" w:rsidP="00563642">
            <w:pPr>
              <w:spacing w:after="0"/>
              <w:rPr>
                <w:rFonts w:asciiTheme="minorHAnsi" w:hAnsiTheme="minorHAnsi" w:cstheme="minorHAnsi"/>
                <w:color w:val="000000"/>
                <w:sz w:val="18"/>
                <w:szCs w:val="18"/>
              </w:rPr>
            </w:pPr>
            <w:r w:rsidRPr="00396C98">
              <w:rPr>
                <w:rFonts w:asciiTheme="minorHAnsi" w:hAnsiTheme="minorHAnsi" w:cstheme="minorHAnsi"/>
                <w:color w:val="000000"/>
                <w:sz w:val="18"/>
                <w:szCs w:val="18"/>
              </w:rPr>
              <w:t>Liver cancer</w:t>
            </w:r>
          </w:p>
        </w:tc>
        <w:tc>
          <w:tcPr>
            <w:tcW w:w="1769" w:type="dxa"/>
          </w:tcPr>
          <w:p w:rsidR="004639EC" w:rsidRPr="00396C98" w:rsidRDefault="00516500" w:rsidP="00396C98">
            <w:pPr>
              <w:spacing w:after="0"/>
              <w:jc w:val="center"/>
              <w:rPr>
                <w:rFonts w:asciiTheme="minorHAnsi" w:hAnsiTheme="minorHAnsi" w:cstheme="minorHAnsi"/>
                <w:color w:val="000000"/>
                <w:sz w:val="18"/>
                <w:szCs w:val="18"/>
              </w:rPr>
            </w:pPr>
            <w:r>
              <w:rPr>
                <w:rFonts w:asciiTheme="minorHAnsi" w:hAnsiTheme="minorHAnsi" w:cstheme="minorHAnsi"/>
                <w:color w:val="000000"/>
                <w:sz w:val="18"/>
                <w:szCs w:val="18"/>
              </w:rPr>
              <w:t>37.</w:t>
            </w:r>
            <w:r w:rsidR="004639EC" w:rsidRPr="00396C98">
              <w:rPr>
                <w:rFonts w:asciiTheme="minorHAnsi" w:hAnsiTheme="minorHAnsi" w:cstheme="minorHAnsi"/>
                <w:color w:val="000000"/>
                <w:sz w:val="18"/>
                <w:szCs w:val="18"/>
              </w:rPr>
              <w:t>1</w:t>
            </w:r>
          </w:p>
        </w:tc>
        <w:tc>
          <w:tcPr>
            <w:tcW w:w="1769" w:type="dxa"/>
          </w:tcPr>
          <w:p w:rsidR="004639EC" w:rsidRPr="00396C98" w:rsidRDefault="00516500" w:rsidP="00396C98">
            <w:pPr>
              <w:spacing w:after="0"/>
              <w:jc w:val="center"/>
              <w:rPr>
                <w:rFonts w:asciiTheme="minorHAnsi" w:hAnsiTheme="minorHAnsi" w:cstheme="minorHAnsi"/>
                <w:color w:val="000000"/>
                <w:sz w:val="18"/>
                <w:szCs w:val="18"/>
              </w:rPr>
            </w:pPr>
            <w:r>
              <w:rPr>
                <w:rFonts w:asciiTheme="minorHAnsi" w:hAnsiTheme="minorHAnsi" w:cstheme="minorHAnsi"/>
                <w:color w:val="000000"/>
                <w:sz w:val="18"/>
                <w:szCs w:val="18"/>
              </w:rPr>
              <w:t>31.</w:t>
            </w:r>
            <w:r w:rsidR="004639EC" w:rsidRPr="00396C98">
              <w:rPr>
                <w:rFonts w:asciiTheme="minorHAnsi" w:hAnsiTheme="minorHAnsi" w:cstheme="minorHAnsi"/>
                <w:color w:val="000000"/>
                <w:sz w:val="18"/>
                <w:szCs w:val="18"/>
              </w:rPr>
              <w:t>5</w:t>
            </w:r>
          </w:p>
        </w:tc>
        <w:tc>
          <w:tcPr>
            <w:tcW w:w="1770" w:type="dxa"/>
          </w:tcPr>
          <w:p w:rsidR="004639EC" w:rsidRPr="00396C98" w:rsidRDefault="00516500" w:rsidP="00396C98">
            <w:pPr>
              <w:spacing w:after="0"/>
              <w:jc w:val="center"/>
              <w:rPr>
                <w:rFonts w:asciiTheme="minorHAnsi" w:hAnsiTheme="minorHAnsi" w:cstheme="minorHAnsi"/>
                <w:color w:val="000000"/>
                <w:sz w:val="18"/>
                <w:szCs w:val="18"/>
              </w:rPr>
            </w:pPr>
            <w:r>
              <w:rPr>
                <w:rFonts w:asciiTheme="minorHAnsi" w:hAnsiTheme="minorHAnsi" w:cstheme="minorHAnsi"/>
                <w:color w:val="000000"/>
                <w:sz w:val="18"/>
                <w:szCs w:val="18"/>
              </w:rPr>
              <w:t>36.</w:t>
            </w:r>
            <w:r w:rsidR="004639EC" w:rsidRPr="00396C98">
              <w:rPr>
                <w:rFonts w:asciiTheme="minorHAnsi" w:hAnsiTheme="minorHAnsi" w:cstheme="minorHAnsi"/>
                <w:color w:val="000000"/>
                <w:sz w:val="18"/>
                <w:szCs w:val="18"/>
              </w:rPr>
              <w:t>5</w:t>
            </w:r>
          </w:p>
        </w:tc>
      </w:tr>
      <w:tr w:rsidR="004639EC" w:rsidRPr="00201BF8" w:rsidTr="005E5CB1">
        <w:tc>
          <w:tcPr>
            <w:tcW w:w="2337" w:type="dxa"/>
          </w:tcPr>
          <w:p w:rsidR="004639EC" w:rsidRPr="00396C98" w:rsidRDefault="004639EC" w:rsidP="00563642">
            <w:pPr>
              <w:spacing w:after="0"/>
              <w:rPr>
                <w:rFonts w:asciiTheme="minorHAnsi" w:hAnsiTheme="minorHAnsi" w:cstheme="minorHAnsi"/>
                <w:color w:val="000000"/>
                <w:sz w:val="18"/>
                <w:szCs w:val="18"/>
              </w:rPr>
            </w:pPr>
            <w:r w:rsidRPr="00396C98">
              <w:rPr>
                <w:rFonts w:asciiTheme="minorHAnsi" w:hAnsiTheme="minorHAnsi" w:cstheme="minorHAnsi"/>
                <w:color w:val="000000"/>
                <w:sz w:val="18"/>
                <w:szCs w:val="18"/>
              </w:rPr>
              <w:t>Road injuries</w:t>
            </w:r>
          </w:p>
        </w:tc>
        <w:tc>
          <w:tcPr>
            <w:tcW w:w="1769" w:type="dxa"/>
          </w:tcPr>
          <w:p w:rsidR="004639EC" w:rsidRPr="00396C98" w:rsidRDefault="00516500" w:rsidP="00396C98">
            <w:pPr>
              <w:spacing w:after="0"/>
              <w:jc w:val="center"/>
              <w:rPr>
                <w:rFonts w:asciiTheme="minorHAnsi" w:hAnsiTheme="minorHAnsi" w:cstheme="minorHAnsi"/>
                <w:color w:val="000000"/>
                <w:sz w:val="18"/>
                <w:szCs w:val="18"/>
              </w:rPr>
            </w:pPr>
            <w:r>
              <w:rPr>
                <w:rFonts w:asciiTheme="minorHAnsi" w:hAnsiTheme="minorHAnsi" w:cstheme="minorHAnsi"/>
                <w:color w:val="000000"/>
                <w:sz w:val="18"/>
                <w:szCs w:val="18"/>
              </w:rPr>
              <w:t>26.</w:t>
            </w:r>
            <w:r w:rsidR="004639EC" w:rsidRPr="00396C98">
              <w:rPr>
                <w:rFonts w:asciiTheme="minorHAnsi" w:hAnsiTheme="minorHAnsi" w:cstheme="minorHAnsi"/>
                <w:color w:val="000000"/>
                <w:sz w:val="18"/>
                <w:szCs w:val="18"/>
              </w:rPr>
              <w:t>7</w:t>
            </w:r>
          </w:p>
        </w:tc>
        <w:tc>
          <w:tcPr>
            <w:tcW w:w="1769" w:type="dxa"/>
          </w:tcPr>
          <w:p w:rsidR="004639EC" w:rsidRPr="00396C98" w:rsidRDefault="00516500" w:rsidP="00396C98">
            <w:pPr>
              <w:spacing w:after="0"/>
              <w:jc w:val="center"/>
              <w:rPr>
                <w:rFonts w:asciiTheme="minorHAnsi" w:hAnsiTheme="minorHAnsi" w:cstheme="minorHAnsi"/>
                <w:color w:val="000000"/>
                <w:sz w:val="18"/>
                <w:szCs w:val="18"/>
              </w:rPr>
            </w:pPr>
            <w:r>
              <w:rPr>
                <w:rFonts w:asciiTheme="minorHAnsi" w:hAnsiTheme="minorHAnsi" w:cstheme="minorHAnsi"/>
                <w:color w:val="000000"/>
                <w:sz w:val="18"/>
                <w:szCs w:val="18"/>
              </w:rPr>
              <w:t>26.</w:t>
            </w:r>
            <w:r w:rsidR="004639EC" w:rsidRPr="00396C98">
              <w:rPr>
                <w:rFonts w:asciiTheme="minorHAnsi" w:hAnsiTheme="minorHAnsi" w:cstheme="minorHAnsi"/>
                <w:color w:val="000000"/>
                <w:sz w:val="18"/>
                <w:szCs w:val="18"/>
              </w:rPr>
              <w:t>7</w:t>
            </w:r>
          </w:p>
        </w:tc>
        <w:tc>
          <w:tcPr>
            <w:tcW w:w="1770" w:type="dxa"/>
          </w:tcPr>
          <w:p w:rsidR="004639EC" w:rsidRPr="00396C98" w:rsidRDefault="00516500" w:rsidP="00396C98">
            <w:pPr>
              <w:spacing w:after="0"/>
              <w:jc w:val="center"/>
              <w:rPr>
                <w:rFonts w:asciiTheme="minorHAnsi" w:hAnsiTheme="minorHAnsi" w:cstheme="minorHAnsi"/>
                <w:color w:val="000000"/>
                <w:sz w:val="18"/>
                <w:szCs w:val="18"/>
              </w:rPr>
            </w:pPr>
            <w:r>
              <w:rPr>
                <w:rFonts w:asciiTheme="minorHAnsi" w:hAnsiTheme="minorHAnsi" w:cstheme="minorHAnsi"/>
                <w:color w:val="000000"/>
                <w:sz w:val="18"/>
                <w:szCs w:val="18"/>
              </w:rPr>
              <w:t>30.</w:t>
            </w:r>
            <w:r w:rsidR="004639EC" w:rsidRPr="00396C98">
              <w:rPr>
                <w:rFonts w:asciiTheme="minorHAnsi" w:hAnsiTheme="minorHAnsi" w:cstheme="minorHAnsi"/>
                <w:color w:val="000000"/>
                <w:sz w:val="18"/>
                <w:szCs w:val="18"/>
              </w:rPr>
              <w:t>9</w:t>
            </w:r>
          </w:p>
        </w:tc>
      </w:tr>
      <w:tr w:rsidR="004639EC" w:rsidRPr="00201BF8" w:rsidTr="005E5CB1">
        <w:trPr>
          <w:cnfStyle w:val="000000100000" w:firstRow="0" w:lastRow="0" w:firstColumn="0" w:lastColumn="0" w:oddVBand="0" w:evenVBand="0" w:oddHBand="1" w:evenHBand="0" w:firstRowFirstColumn="0" w:firstRowLastColumn="0" w:lastRowFirstColumn="0" w:lastRowLastColumn="0"/>
        </w:trPr>
        <w:tc>
          <w:tcPr>
            <w:tcW w:w="2337" w:type="dxa"/>
          </w:tcPr>
          <w:p w:rsidR="004639EC" w:rsidRPr="00396C98" w:rsidRDefault="004639EC" w:rsidP="00563642">
            <w:pPr>
              <w:spacing w:after="0"/>
              <w:rPr>
                <w:rFonts w:asciiTheme="minorHAnsi" w:hAnsiTheme="minorHAnsi" w:cstheme="minorHAnsi"/>
                <w:color w:val="000000"/>
                <w:sz w:val="18"/>
                <w:szCs w:val="18"/>
              </w:rPr>
            </w:pPr>
            <w:r w:rsidRPr="00396C98">
              <w:rPr>
                <w:rFonts w:asciiTheme="minorHAnsi" w:hAnsiTheme="minorHAnsi" w:cstheme="minorHAnsi"/>
                <w:color w:val="000000"/>
                <w:sz w:val="18"/>
                <w:szCs w:val="18"/>
              </w:rPr>
              <w:t>Stomach cancer</w:t>
            </w:r>
          </w:p>
        </w:tc>
        <w:tc>
          <w:tcPr>
            <w:tcW w:w="1769" w:type="dxa"/>
          </w:tcPr>
          <w:p w:rsidR="004639EC" w:rsidRPr="00396C98" w:rsidRDefault="00516500" w:rsidP="00396C98">
            <w:pPr>
              <w:spacing w:after="0"/>
              <w:jc w:val="center"/>
              <w:rPr>
                <w:rFonts w:asciiTheme="minorHAnsi" w:hAnsiTheme="minorHAnsi" w:cstheme="minorHAnsi"/>
                <w:color w:val="000000"/>
                <w:sz w:val="18"/>
                <w:szCs w:val="18"/>
              </w:rPr>
            </w:pPr>
            <w:r>
              <w:rPr>
                <w:rFonts w:asciiTheme="minorHAnsi" w:hAnsiTheme="minorHAnsi" w:cstheme="minorHAnsi"/>
                <w:color w:val="000000"/>
                <w:sz w:val="18"/>
                <w:szCs w:val="18"/>
              </w:rPr>
              <w:t>46.</w:t>
            </w:r>
            <w:r w:rsidR="004639EC" w:rsidRPr="00396C98">
              <w:rPr>
                <w:rFonts w:asciiTheme="minorHAnsi" w:hAnsiTheme="minorHAnsi" w:cstheme="minorHAnsi"/>
                <w:color w:val="000000"/>
                <w:sz w:val="18"/>
                <w:szCs w:val="18"/>
              </w:rPr>
              <w:t>0</w:t>
            </w:r>
          </w:p>
        </w:tc>
        <w:tc>
          <w:tcPr>
            <w:tcW w:w="1769" w:type="dxa"/>
          </w:tcPr>
          <w:p w:rsidR="004639EC" w:rsidRPr="00396C98" w:rsidRDefault="00516500" w:rsidP="00396C98">
            <w:pPr>
              <w:spacing w:after="0"/>
              <w:jc w:val="center"/>
              <w:rPr>
                <w:rFonts w:asciiTheme="minorHAnsi" w:hAnsiTheme="minorHAnsi" w:cstheme="minorHAnsi"/>
                <w:color w:val="000000"/>
                <w:sz w:val="18"/>
                <w:szCs w:val="18"/>
              </w:rPr>
            </w:pPr>
            <w:r>
              <w:rPr>
                <w:rFonts w:asciiTheme="minorHAnsi" w:hAnsiTheme="minorHAnsi" w:cstheme="minorHAnsi"/>
                <w:color w:val="000000"/>
                <w:sz w:val="18"/>
                <w:szCs w:val="18"/>
              </w:rPr>
              <w:t>26.</w:t>
            </w:r>
            <w:r w:rsidR="004639EC" w:rsidRPr="00396C98">
              <w:rPr>
                <w:rFonts w:asciiTheme="minorHAnsi" w:hAnsiTheme="minorHAnsi" w:cstheme="minorHAnsi"/>
                <w:color w:val="000000"/>
                <w:sz w:val="18"/>
                <w:szCs w:val="18"/>
              </w:rPr>
              <w:t>6</w:t>
            </w:r>
          </w:p>
        </w:tc>
        <w:tc>
          <w:tcPr>
            <w:tcW w:w="1770" w:type="dxa"/>
          </w:tcPr>
          <w:p w:rsidR="004639EC" w:rsidRPr="00396C98" w:rsidRDefault="00516500" w:rsidP="00396C98">
            <w:pPr>
              <w:spacing w:after="0"/>
              <w:jc w:val="center"/>
              <w:rPr>
                <w:rFonts w:asciiTheme="minorHAnsi" w:hAnsiTheme="minorHAnsi" w:cstheme="minorHAnsi"/>
                <w:color w:val="000000"/>
                <w:sz w:val="18"/>
                <w:szCs w:val="18"/>
              </w:rPr>
            </w:pPr>
            <w:r>
              <w:rPr>
                <w:rFonts w:asciiTheme="minorHAnsi" w:hAnsiTheme="minorHAnsi" w:cstheme="minorHAnsi"/>
                <w:color w:val="000000"/>
                <w:sz w:val="18"/>
                <w:szCs w:val="18"/>
              </w:rPr>
              <w:t>34.</w:t>
            </w:r>
            <w:r w:rsidR="004639EC" w:rsidRPr="00396C98">
              <w:rPr>
                <w:rFonts w:asciiTheme="minorHAnsi" w:hAnsiTheme="minorHAnsi" w:cstheme="minorHAnsi"/>
                <w:color w:val="000000"/>
                <w:sz w:val="18"/>
                <w:szCs w:val="18"/>
              </w:rPr>
              <w:t>3</w:t>
            </w:r>
          </w:p>
        </w:tc>
      </w:tr>
      <w:tr w:rsidR="004639EC" w:rsidRPr="00201BF8" w:rsidTr="005E5CB1">
        <w:tc>
          <w:tcPr>
            <w:tcW w:w="2337" w:type="dxa"/>
          </w:tcPr>
          <w:p w:rsidR="004639EC" w:rsidRPr="00396C98" w:rsidRDefault="004639EC" w:rsidP="00563642">
            <w:pPr>
              <w:spacing w:after="0"/>
              <w:rPr>
                <w:rFonts w:asciiTheme="minorHAnsi" w:hAnsiTheme="minorHAnsi" w:cstheme="minorHAnsi"/>
                <w:color w:val="000000"/>
                <w:sz w:val="18"/>
                <w:szCs w:val="18"/>
              </w:rPr>
            </w:pPr>
            <w:proofErr w:type="spellStart"/>
            <w:r w:rsidRPr="00396C98">
              <w:rPr>
                <w:rFonts w:asciiTheme="minorHAnsi" w:hAnsiTheme="minorHAnsi" w:cstheme="minorHAnsi"/>
                <w:color w:val="000000"/>
                <w:sz w:val="18"/>
                <w:szCs w:val="18"/>
              </w:rPr>
              <w:t>Oesophageal</w:t>
            </w:r>
            <w:proofErr w:type="spellEnd"/>
            <w:r w:rsidRPr="00396C98">
              <w:rPr>
                <w:rFonts w:asciiTheme="minorHAnsi" w:hAnsiTheme="minorHAnsi" w:cstheme="minorHAnsi"/>
                <w:color w:val="000000"/>
                <w:sz w:val="18"/>
                <w:szCs w:val="18"/>
              </w:rPr>
              <w:t xml:space="preserve"> cancer</w:t>
            </w:r>
          </w:p>
        </w:tc>
        <w:tc>
          <w:tcPr>
            <w:tcW w:w="1769" w:type="dxa"/>
          </w:tcPr>
          <w:p w:rsidR="004639EC" w:rsidRPr="00396C98" w:rsidRDefault="00516500" w:rsidP="00396C98">
            <w:pPr>
              <w:spacing w:after="0"/>
              <w:jc w:val="center"/>
              <w:rPr>
                <w:rFonts w:asciiTheme="minorHAnsi" w:hAnsiTheme="minorHAnsi" w:cstheme="minorHAnsi"/>
                <w:color w:val="000000"/>
                <w:sz w:val="18"/>
                <w:szCs w:val="18"/>
              </w:rPr>
            </w:pPr>
            <w:r>
              <w:rPr>
                <w:rFonts w:asciiTheme="minorHAnsi" w:hAnsiTheme="minorHAnsi" w:cstheme="minorHAnsi"/>
                <w:color w:val="000000"/>
                <w:sz w:val="18"/>
                <w:szCs w:val="18"/>
              </w:rPr>
              <w:t>42.</w:t>
            </w:r>
            <w:r w:rsidR="004639EC" w:rsidRPr="00396C98">
              <w:rPr>
                <w:rFonts w:asciiTheme="minorHAnsi" w:hAnsiTheme="minorHAnsi" w:cstheme="minorHAnsi"/>
                <w:color w:val="000000"/>
                <w:sz w:val="18"/>
                <w:szCs w:val="18"/>
              </w:rPr>
              <w:t>5</w:t>
            </w:r>
          </w:p>
        </w:tc>
        <w:tc>
          <w:tcPr>
            <w:tcW w:w="1769" w:type="dxa"/>
          </w:tcPr>
          <w:p w:rsidR="004639EC" w:rsidRPr="00396C98" w:rsidRDefault="00516500" w:rsidP="00396C98">
            <w:pPr>
              <w:spacing w:after="0"/>
              <w:jc w:val="center"/>
              <w:rPr>
                <w:rFonts w:asciiTheme="minorHAnsi" w:hAnsiTheme="minorHAnsi" w:cstheme="minorHAnsi"/>
                <w:color w:val="000000"/>
                <w:sz w:val="18"/>
                <w:szCs w:val="18"/>
              </w:rPr>
            </w:pPr>
            <w:r>
              <w:rPr>
                <w:rFonts w:asciiTheme="minorHAnsi" w:hAnsiTheme="minorHAnsi" w:cstheme="minorHAnsi"/>
                <w:color w:val="000000"/>
                <w:sz w:val="18"/>
                <w:szCs w:val="18"/>
              </w:rPr>
              <w:t>14.</w:t>
            </w:r>
            <w:r w:rsidR="004639EC" w:rsidRPr="00396C98">
              <w:rPr>
                <w:rFonts w:asciiTheme="minorHAnsi" w:hAnsiTheme="minorHAnsi" w:cstheme="minorHAnsi"/>
                <w:color w:val="000000"/>
                <w:sz w:val="18"/>
                <w:szCs w:val="18"/>
              </w:rPr>
              <w:t>6</w:t>
            </w:r>
          </w:p>
        </w:tc>
        <w:tc>
          <w:tcPr>
            <w:tcW w:w="1770" w:type="dxa"/>
          </w:tcPr>
          <w:p w:rsidR="004639EC" w:rsidRPr="00396C98" w:rsidRDefault="00516500" w:rsidP="00396C98">
            <w:pPr>
              <w:spacing w:after="0"/>
              <w:jc w:val="center"/>
              <w:rPr>
                <w:rFonts w:asciiTheme="minorHAnsi" w:hAnsiTheme="minorHAnsi" w:cstheme="minorHAnsi"/>
                <w:color w:val="000000"/>
                <w:sz w:val="18"/>
                <w:szCs w:val="18"/>
              </w:rPr>
            </w:pPr>
            <w:r>
              <w:rPr>
                <w:rFonts w:asciiTheme="minorHAnsi" w:hAnsiTheme="minorHAnsi" w:cstheme="minorHAnsi"/>
                <w:color w:val="000000"/>
                <w:sz w:val="18"/>
                <w:szCs w:val="18"/>
              </w:rPr>
              <w:t>22.</w:t>
            </w:r>
            <w:r w:rsidR="004639EC" w:rsidRPr="00396C98">
              <w:rPr>
                <w:rFonts w:asciiTheme="minorHAnsi" w:hAnsiTheme="minorHAnsi" w:cstheme="minorHAnsi"/>
                <w:color w:val="000000"/>
                <w:sz w:val="18"/>
                <w:szCs w:val="18"/>
              </w:rPr>
              <w:t>8</w:t>
            </w:r>
          </w:p>
        </w:tc>
      </w:tr>
      <w:tr w:rsidR="004639EC" w:rsidRPr="00201BF8" w:rsidTr="005E5CB1">
        <w:trPr>
          <w:cnfStyle w:val="000000100000" w:firstRow="0" w:lastRow="0" w:firstColumn="0" w:lastColumn="0" w:oddVBand="0" w:evenVBand="0" w:oddHBand="1" w:evenHBand="0" w:firstRowFirstColumn="0" w:firstRowLastColumn="0" w:lastRowFirstColumn="0" w:lastRowLastColumn="0"/>
        </w:trPr>
        <w:tc>
          <w:tcPr>
            <w:tcW w:w="2337" w:type="dxa"/>
          </w:tcPr>
          <w:p w:rsidR="004639EC" w:rsidRPr="00396C98" w:rsidRDefault="004639EC" w:rsidP="00563642">
            <w:pPr>
              <w:spacing w:after="0"/>
              <w:rPr>
                <w:rFonts w:asciiTheme="minorHAnsi" w:hAnsiTheme="minorHAnsi" w:cstheme="minorHAnsi"/>
                <w:color w:val="000000"/>
                <w:sz w:val="18"/>
                <w:szCs w:val="18"/>
              </w:rPr>
            </w:pPr>
            <w:r w:rsidRPr="00396C98">
              <w:rPr>
                <w:rFonts w:asciiTheme="minorHAnsi" w:hAnsiTheme="minorHAnsi" w:cstheme="minorHAnsi"/>
                <w:color w:val="000000"/>
                <w:sz w:val="18"/>
                <w:szCs w:val="18"/>
              </w:rPr>
              <w:t>Hypertensive heart disease</w:t>
            </w:r>
          </w:p>
        </w:tc>
        <w:tc>
          <w:tcPr>
            <w:tcW w:w="1769" w:type="dxa"/>
          </w:tcPr>
          <w:p w:rsidR="004639EC" w:rsidRPr="00396C98" w:rsidRDefault="00516500" w:rsidP="00396C98">
            <w:pPr>
              <w:spacing w:after="0"/>
              <w:jc w:val="center"/>
              <w:rPr>
                <w:rFonts w:asciiTheme="minorHAnsi" w:hAnsiTheme="minorHAnsi" w:cstheme="minorHAnsi"/>
                <w:color w:val="000000"/>
                <w:sz w:val="18"/>
                <w:szCs w:val="18"/>
              </w:rPr>
            </w:pPr>
            <w:r>
              <w:rPr>
                <w:rFonts w:asciiTheme="minorHAnsi" w:hAnsiTheme="minorHAnsi" w:cstheme="minorHAnsi"/>
                <w:color w:val="000000"/>
                <w:sz w:val="18"/>
                <w:szCs w:val="18"/>
              </w:rPr>
              <w:t>16.</w:t>
            </w:r>
            <w:r w:rsidR="004639EC" w:rsidRPr="00396C98">
              <w:rPr>
                <w:rFonts w:asciiTheme="minorHAnsi" w:hAnsiTheme="minorHAnsi" w:cstheme="minorHAnsi"/>
                <w:color w:val="000000"/>
                <w:sz w:val="18"/>
                <w:szCs w:val="18"/>
              </w:rPr>
              <w:t>2</w:t>
            </w:r>
          </w:p>
        </w:tc>
        <w:tc>
          <w:tcPr>
            <w:tcW w:w="1769" w:type="dxa"/>
          </w:tcPr>
          <w:p w:rsidR="004639EC" w:rsidRPr="00396C98" w:rsidRDefault="004639EC" w:rsidP="00516500">
            <w:pPr>
              <w:spacing w:after="0"/>
              <w:jc w:val="center"/>
              <w:rPr>
                <w:rFonts w:asciiTheme="minorHAnsi" w:hAnsiTheme="minorHAnsi" w:cstheme="minorHAnsi"/>
                <w:color w:val="000000"/>
                <w:sz w:val="18"/>
                <w:szCs w:val="18"/>
              </w:rPr>
            </w:pPr>
            <w:r w:rsidRPr="00396C98">
              <w:rPr>
                <w:rFonts w:asciiTheme="minorHAnsi" w:hAnsiTheme="minorHAnsi" w:cstheme="minorHAnsi"/>
                <w:color w:val="000000"/>
                <w:sz w:val="18"/>
                <w:szCs w:val="18"/>
              </w:rPr>
              <w:t>11</w:t>
            </w:r>
            <w:r w:rsidR="00516500">
              <w:rPr>
                <w:rFonts w:asciiTheme="minorHAnsi" w:hAnsiTheme="minorHAnsi" w:cstheme="minorHAnsi"/>
                <w:color w:val="000000"/>
                <w:sz w:val="18"/>
                <w:szCs w:val="18"/>
              </w:rPr>
              <w:t>.</w:t>
            </w:r>
            <w:r w:rsidRPr="00396C98">
              <w:rPr>
                <w:rFonts w:asciiTheme="minorHAnsi" w:hAnsiTheme="minorHAnsi" w:cstheme="minorHAnsi"/>
                <w:color w:val="000000"/>
                <w:sz w:val="18"/>
                <w:szCs w:val="18"/>
              </w:rPr>
              <w:t>2</w:t>
            </w:r>
          </w:p>
        </w:tc>
        <w:tc>
          <w:tcPr>
            <w:tcW w:w="1770" w:type="dxa"/>
          </w:tcPr>
          <w:p w:rsidR="004639EC" w:rsidRPr="00396C98" w:rsidRDefault="00516500" w:rsidP="00396C98">
            <w:pPr>
              <w:spacing w:after="0"/>
              <w:jc w:val="center"/>
              <w:rPr>
                <w:rFonts w:asciiTheme="minorHAnsi" w:hAnsiTheme="minorHAnsi" w:cstheme="minorHAnsi"/>
                <w:color w:val="000000"/>
                <w:sz w:val="18"/>
                <w:szCs w:val="18"/>
              </w:rPr>
            </w:pPr>
            <w:r>
              <w:rPr>
                <w:rFonts w:asciiTheme="minorHAnsi" w:hAnsiTheme="minorHAnsi" w:cstheme="minorHAnsi"/>
                <w:color w:val="000000"/>
                <w:sz w:val="18"/>
                <w:szCs w:val="18"/>
              </w:rPr>
              <w:t>22.</w:t>
            </w:r>
            <w:r w:rsidR="004639EC" w:rsidRPr="00396C98">
              <w:rPr>
                <w:rFonts w:asciiTheme="minorHAnsi" w:hAnsiTheme="minorHAnsi" w:cstheme="minorHAnsi"/>
                <w:color w:val="000000"/>
                <w:sz w:val="18"/>
                <w:szCs w:val="18"/>
              </w:rPr>
              <w:t>0</w:t>
            </w:r>
          </w:p>
        </w:tc>
      </w:tr>
      <w:tr w:rsidR="004639EC" w:rsidRPr="00201BF8" w:rsidTr="005E5CB1">
        <w:tc>
          <w:tcPr>
            <w:tcW w:w="2337" w:type="dxa"/>
          </w:tcPr>
          <w:p w:rsidR="004639EC" w:rsidRPr="00396C98" w:rsidRDefault="004639EC" w:rsidP="00563642">
            <w:pPr>
              <w:spacing w:after="0"/>
              <w:rPr>
                <w:rFonts w:asciiTheme="minorHAnsi" w:hAnsiTheme="minorHAnsi" w:cstheme="minorHAnsi"/>
                <w:color w:val="000000"/>
                <w:sz w:val="18"/>
                <w:szCs w:val="18"/>
              </w:rPr>
            </w:pPr>
            <w:r w:rsidRPr="00396C98">
              <w:rPr>
                <w:rFonts w:asciiTheme="minorHAnsi" w:hAnsiTheme="minorHAnsi" w:cstheme="minorHAnsi"/>
                <w:color w:val="000000"/>
                <w:sz w:val="18"/>
                <w:szCs w:val="18"/>
              </w:rPr>
              <w:t>Alzheimer's disease</w:t>
            </w:r>
          </w:p>
        </w:tc>
        <w:tc>
          <w:tcPr>
            <w:tcW w:w="1769" w:type="dxa"/>
          </w:tcPr>
          <w:p w:rsidR="004639EC" w:rsidRPr="00396C98" w:rsidRDefault="00516500" w:rsidP="00396C98">
            <w:pPr>
              <w:spacing w:after="0"/>
              <w:jc w:val="center"/>
              <w:rPr>
                <w:rFonts w:asciiTheme="minorHAnsi" w:hAnsiTheme="minorHAnsi" w:cstheme="minorHAnsi"/>
                <w:color w:val="000000"/>
                <w:sz w:val="18"/>
                <w:szCs w:val="18"/>
              </w:rPr>
            </w:pPr>
            <w:r>
              <w:rPr>
                <w:rFonts w:asciiTheme="minorHAnsi" w:hAnsiTheme="minorHAnsi" w:cstheme="minorHAnsi"/>
                <w:color w:val="000000"/>
                <w:sz w:val="18"/>
                <w:szCs w:val="18"/>
              </w:rPr>
              <w:t>23.</w:t>
            </w:r>
            <w:r w:rsidR="004639EC" w:rsidRPr="00396C98">
              <w:rPr>
                <w:rFonts w:asciiTheme="minorHAnsi" w:hAnsiTheme="minorHAnsi" w:cstheme="minorHAnsi"/>
                <w:color w:val="000000"/>
                <w:sz w:val="18"/>
                <w:szCs w:val="18"/>
              </w:rPr>
              <w:t>2</w:t>
            </w:r>
          </w:p>
        </w:tc>
        <w:tc>
          <w:tcPr>
            <w:tcW w:w="1769" w:type="dxa"/>
          </w:tcPr>
          <w:p w:rsidR="004639EC" w:rsidRPr="00396C98" w:rsidRDefault="00516500" w:rsidP="00396C98">
            <w:pPr>
              <w:spacing w:after="0"/>
              <w:jc w:val="center"/>
              <w:rPr>
                <w:rFonts w:asciiTheme="minorHAnsi" w:hAnsiTheme="minorHAnsi" w:cstheme="minorHAnsi"/>
                <w:color w:val="000000"/>
                <w:sz w:val="18"/>
                <w:szCs w:val="18"/>
              </w:rPr>
            </w:pPr>
            <w:r>
              <w:rPr>
                <w:rFonts w:asciiTheme="minorHAnsi" w:hAnsiTheme="minorHAnsi" w:cstheme="minorHAnsi"/>
                <w:color w:val="000000"/>
                <w:sz w:val="18"/>
                <w:szCs w:val="18"/>
              </w:rPr>
              <w:t>30.</w:t>
            </w:r>
            <w:r w:rsidR="004639EC" w:rsidRPr="00396C98">
              <w:rPr>
                <w:rFonts w:asciiTheme="minorHAnsi" w:hAnsiTheme="minorHAnsi" w:cstheme="minorHAnsi"/>
                <w:color w:val="000000"/>
                <w:sz w:val="18"/>
                <w:szCs w:val="18"/>
              </w:rPr>
              <w:t>8</w:t>
            </w:r>
          </w:p>
        </w:tc>
        <w:tc>
          <w:tcPr>
            <w:tcW w:w="1770" w:type="dxa"/>
          </w:tcPr>
          <w:p w:rsidR="004639EC" w:rsidRPr="00396C98" w:rsidRDefault="00516500" w:rsidP="00396C98">
            <w:pPr>
              <w:spacing w:after="0"/>
              <w:jc w:val="center"/>
              <w:rPr>
                <w:rFonts w:asciiTheme="minorHAnsi" w:hAnsiTheme="minorHAnsi" w:cstheme="minorHAnsi"/>
                <w:color w:val="000000"/>
                <w:sz w:val="18"/>
                <w:szCs w:val="18"/>
              </w:rPr>
            </w:pPr>
            <w:r>
              <w:rPr>
                <w:rFonts w:asciiTheme="minorHAnsi" w:hAnsiTheme="minorHAnsi" w:cstheme="minorHAnsi"/>
                <w:color w:val="000000"/>
                <w:sz w:val="18"/>
                <w:szCs w:val="18"/>
              </w:rPr>
              <w:t>24.</w:t>
            </w:r>
            <w:r w:rsidR="004639EC" w:rsidRPr="00396C98">
              <w:rPr>
                <w:rFonts w:asciiTheme="minorHAnsi" w:hAnsiTheme="minorHAnsi" w:cstheme="minorHAnsi"/>
                <w:color w:val="000000"/>
                <w:sz w:val="18"/>
                <w:szCs w:val="18"/>
              </w:rPr>
              <w:t>2</w:t>
            </w:r>
          </w:p>
        </w:tc>
      </w:tr>
      <w:tr w:rsidR="004639EC" w:rsidRPr="00201BF8" w:rsidTr="005E5CB1">
        <w:trPr>
          <w:cnfStyle w:val="000000100000" w:firstRow="0" w:lastRow="0" w:firstColumn="0" w:lastColumn="0" w:oddVBand="0" w:evenVBand="0" w:oddHBand="1" w:evenHBand="0" w:firstRowFirstColumn="0" w:firstRowLastColumn="0" w:lastRowFirstColumn="0" w:lastRowLastColumn="0"/>
        </w:trPr>
        <w:tc>
          <w:tcPr>
            <w:tcW w:w="2337" w:type="dxa"/>
          </w:tcPr>
          <w:p w:rsidR="004639EC" w:rsidRPr="00396C98" w:rsidRDefault="004639EC" w:rsidP="00563642">
            <w:pPr>
              <w:spacing w:after="0"/>
              <w:rPr>
                <w:rFonts w:asciiTheme="minorHAnsi" w:hAnsiTheme="minorHAnsi" w:cstheme="minorHAnsi"/>
                <w:color w:val="000000"/>
                <w:sz w:val="18"/>
                <w:szCs w:val="18"/>
              </w:rPr>
            </w:pPr>
            <w:r w:rsidRPr="00396C98">
              <w:rPr>
                <w:rFonts w:asciiTheme="minorHAnsi" w:hAnsiTheme="minorHAnsi" w:cstheme="minorHAnsi"/>
                <w:color w:val="000000"/>
                <w:sz w:val="18"/>
                <w:szCs w:val="18"/>
              </w:rPr>
              <w:t>Lower respiratory infections</w:t>
            </w:r>
          </w:p>
        </w:tc>
        <w:tc>
          <w:tcPr>
            <w:tcW w:w="1769" w:type="dxa"/>
          </w:tcPr>
          <w:p w:rsidR="004639EC" w:rsidRPr="00396C98" w:rsidRDefault="00516500" w:rsidP="00396C98">
            <w:pPr>
              <w:spacing w:after="0"/>
              <w:jc w:val="center"/>
              <w:rPr>
                <w:rFonts w:asciiTheme="minorHAnsi" w:hAnsiTheme="minorHAnsi" w:cstheme="minorHAnsi"/>
                <w:color w:val="000000"/>
                <w:sz w:val="18"/>
                <w:szCs w:val="18"/>
              </w:rPr>
            </w:pPr>
            <w:r>
              <w:rPr>
                <w:rFonts w:asciiTheme="minorHAnsi" w:hAnsiTheme="minorHAnsi" w:cstheme="minorHAnsi"/>
                <w:color w:val="000000"/>
                <w:sz w:val="18"/>
                <w:szCs w:val="18"/>
              </w:rPr>
              <w:t>12.</w:t>
            </w:r>
            <w:r w:rsidR="004639EC" w:rsidRPr="00396C98">
              <w:rPr>
                <w:rFonts w:asciiTheme="minorHAnsi" w:hAnsiTheme="minorHAnsi" w:cstheme="minorHAnsi"/>
                <w:color w:val="000000"/>
                <w:sz w:val="18"/>
                <w:szCs w:val="18"/>
              </w:rPr>
              <w:t>2</w:t>
            </w:r>
          </w:p>
        </w:tc>
        <w:tc>
          <w:tcPr>
            <w:tcW w:w="1769" w:type="dxa"/>
          </w:tcPr>
          <w:p w:rsidR="004639EC" w:rsidRPr="00396C98" w:rsidRDefault="00516500" w:rsidP="00396C98">
            <w:pPr>
              <w:spacing w:after="0"/>
              <w:jc w:val="center"/>
              <w:rPr>
                <w:rFonts w:asciiTheme="minorHAnsi" w:hAnsiTheme="minorHAnsi" w:cstheme="minorHAnsi"/>
                <w:color w:val="000000"/>
                <w:sz w:val="18"/>
                <w:szCs w:val="18"/>
              </w:rPr>
            </w:pPr>
            <w:r>
              <w:rPr>
                <w:rFonts w:asciiTheme="minorHAnsi" w:hAnsiTheme="minorHAnsi" w:cstheme="minorHAnsi"/>
                <w:color w:val="000000"/>
                <w:sz w:val="18"/>
                <w:szCs w:val="18"/>
              </w:rPr>
              <w:t>21.</w:t>
            </w:r>
            <w:r w:rsidR="004639EC" w:rsidRPr="00396C98">
              <w:rPr>
                <w:rFonts w:asciiTheme="minorHAnsi" w:hAnsiTheme="minorHAnsi" w:cstheme="minorHAnsi"/>
                <w:color w:val="000000"/>
                <w:sz w:val="18"/>
                <w:szCs w:val="18"/>
              </w:rPr>
              <w:t>3</w:t>
            </w:r>
          </w:p>
        </w:tc>
        <w:tc>
          <w:tcPr>
            <w:tcW w:w="1770" w:type="dxa"/>
          </w:tcPr>
          <w:p w:rsidR="004639EC" w:rsidRPr="00396C98" w:rsidRDefault="00516500" w:rsidP="00396C98">
            <w:pPr>
              <w:spacing w:after="0"/>
              <w:jc w:val="center"/>
              <w:rPr>
                <w:rFonts w:asciiTheme="minorHAnsi" w:hAnsiTheme="minorHAnsi" w:cstheme="minorHAnsi"/>
                <w:color w:val="000000"/>
                <w:sz w:val="18"/>
                <w:szCs w:val="18"/>
              </w:rPr>
            </w:pPr>
            <w:r>
              <w:rPr>
                <w:rFonts w:asciiTheme="minorHAnsi" w:hAnsiTheme="minorHAnsi" w:cstheme="minorHAnsi"/>
                <w:color w:val="000000"/>
                <w:sz w:val="18"/>
                <w:szCs w:val="18"/>
              </w:rPr>
              <w:t>22.</w:t>
            </w:r>
            <w:r w:rsidR="004639EC" w:rsidRPr="00396C98">
              <w:rPr>
                <w:rFonts w:asciiTheme="minorHAnsi" w:hAnsiTheme="minorHAnsi" w:cstheme="minorHAnsi"/>
                <w:color w:val="000000"/>
                <w:sz w:val="18"/>
                <w:szCs w:val="18"/>
              </w:rPr>
              <w:t>0</w:t>
            </w:r>
          </w:p>
        </w:tc>
      </w:tr>
      <w:tr w:rsidR="004639EC" w:rsidRPr="00201BF8" w:rsidTr="005E5CB1">
        <w:tc>
          <w:tcPr>
            <w:tcW w:w="2337" w:type="dxa"/>
          </w:tcPr>
          <w:p w:rsidR="004639EC" w:rsidRPr="00396C98" w:rsidRDefault="004639EC" w:rsidP="00563642">
            <w:pPr>
              <w:spacing w:after="0"/>
              <w:rPr>
                <w:rFonts w:asciiTheme="minorHAnsi" w:hAnsiTheme="minorHAnsi" w:cstheme="minorHAnsi"/>
                <w:color w:val="000000"/>
                <w:sz w:val="18"/>
                <w:szCs w:val="18"/>
              </w:rPr>
            </w:pPr>
            <w:r w:rsidRPr="00396C98">
              <w:rPr>
                <w:rFonts w:asciiTheme="minorHAnsi" w:hAnsiTheme="minorHAnsi" w:cstheme="minorHAnsi"/>
                <w:color w:val="000000"/>
                <w:sz w:val="18"/>
                <w:szCs w:val="18"/>
              </w:rPr>
              <w:t>Chronic kidney disease</w:t>
            </w:r>
          </w:p>
        </w:tc>
        <w:tc>
          <w:tcPr>
            <w:tcW w:w="1769" w:type="dxa"/>
          </w:tcPr>
          <w:p w:rsidR="004639EC" w:rsidRPr="00396C98" w:rsidRDefault="00516500" w:rsidP="00396C98">
            <w:pPr>
              <w:spacing w:after="0"/>
              <w:jc w:val="center"/>
              <w:rPr>
                <w:rFonts w:asciiTheme="minorHAnsi" w:hAnsiTheme="minorHAnsi" w:cstheme="minorHAnsi"/>
                <w:color w:val="000000"/>
                <w:sz w:val="18"/>
                <w:szCs w:val="18"/>
              </w:rPr>
            </w:pPr>
            <w:r>
              <w:rPr>
                <w:rFonts w:asciiTheme="minorHAnsi" w:hAnsiTheme="minorHAnsi" w:cstheme="minorHAnsi"/>
                <w:color w:val="000000"/>
                <w:sz w:val="18"/>
                <w:szCs w:val="18"/>
              </w:rPr>
              <w:t>9.</w:t>
            </w:r>
            <w:r w:rsidR="004639EC" w:rsidRPr="00396C98">
              <w:rPr>
                <w:rFonts w:asciiTheme="minorHAnsi" w:hAnsiTheme="minorHAnsi" w:cstheme="minorHAnsi"/>
                <w:color w:val="000000"/>
                <w:sz w:val="18"/>
                <w:szCs w:val="18"/>
              </w:rPr>
              <w:t>3</w:t>
            </w:r>
          </w:p>
        </w:tc>
        <w:tc>
          <w:tcPr>
            <w:tcW w:w="1769" w:type="dxa"/>
          </w:tcPr>
          <w:p w:rsidR="004639EC" w:rsidRPr="00396C98" w:rsidRDefault="00516500" w:rsidP="00396C98">
            <w:pPr>
              <w:spacing w:after="0"/>
              <w:jc w:val="center"/>
              <w:rPr>
                <w:rFonts w:asciiTheme="minorHAnsi" w:hAnsiTheme="minorHAnsi" w:cstheme="minorHAnsi"/>
                <w:color w:val="000000"/>
                <w:sz w:val="18"/>
                <w:szCs w:val="18"/>
              </w:rPr>
            </w:pPr>
            <w:r>
              <w:rPr>
                <w:rFonts w:asciiTheme="minorHAnsi" w:hAnsiTheme="minorHAnsi" w:cstheme="minorHAnsi"/>
                <w:color w:val="000000"/>
                <w:sz w:val="18"/>
                <w:szCs w:val="18"/>
              </w:rPr>
              <w:t>9.</w:t>
            </w:r>
            <w:r w:rsidR="004639EC" w:rsidRPr="00396C98">
              <w:rPr>
                <w:rFonts w:asciiTheme="minorHAnsi" w:hAnsiTheme="minorHAnsi" w:cstheme="minorHAnsi"/>
                <w:color w:val="000000"/>
                <w:sz w:val="18"/>
                <w:szCs w:val="18"/>
              </w:rPr>
              <w:t>2</w:t>
            </w:r>
          </w:p>
        </w:tc>
        <w:tc>
          <w:tcPr>
            <w:tcW w:w="1770" w:type="dxa"/>
          </w:tcPr>
          <w:p w:rsidR="004639EC" w:rsidRPr="00396C98" w:rsidRDefault="00516500" w:rsidP="00396C98">
            <w:pPr>
              <w:spacing w:after="0"/>
              <w:jc w:val="center"/>
              <w:rPr>
                <w:rFonts w:asciiTheme="minorHAnsi" w:hAnsiTheme="minorHAnsi" w:cstheme="minorHAnsi"/>
                <w:color w:val="000000"/>
                <w:sz w:val="18"/>
                <w:szCs w:val="18"/>
              </w:rPr>
            </w:pPr>
            <w:r>
              <w:rPr>
                <w:rFonts w:asciiTheme="minorHAnsi" w:hAnsiTheme="minorHAnsi" w:cstheme="minorHAnsi"/>
                <w:color w:val="000000"/>
                <w:sz w:val="18"/>
                <w:szCs w:val="18"/>
              </w:rPr>
              <w:t>14.</w:t>
            </w:r>
            <w:r w:rsidR="004639EC" w:rsidRPr="00396C98">
              <w:rPr>
                <w:rFonts w:asciiTheme="minorHAnsi" w:hAnsiTheme="minorHAnsi" w:cstheme="minorHAnsi"/>
                <w:color w:val="000000"/>
                <w:sz w:val="18"/>
                <w:szCs w:val="18"/>
              </w:rPr>
              <w:t>0</w:t>
            </w:r>
          </w:p>
        </w:tc>
      </w:tr>
      <w:tr w:rsidR="004639EC" w:rsidRPr="00201BF8" w:rsidTr="005E5CB1">
        <w:trPr>
          <w:cnfStyle w:val="000000100000" w:firstRow="0" w:lastRow="0" w:firstColumn="0" w:lastColumn="0" w:oddVBand="0" w:evenVBand="0" w:oddHBand="1" w:evenHBand="0" w:firstRowFirstColumn="0" w:firstRowLastColumn="0" w:lastRowFirstColumn="0" w:lastRowLastColumn="0"/>
        </w:trPr>
        <w:tc>
          <w:tcPr>
            <w:tcW w:w="2337" w:type="dxa"/>
          </w:tcPr>
          <w:p w:rsidR="004639EC" w:rsidRPr="00396C98" w:rsidRDefault="004639EC" w:rsidP="00563642">
            <w:pPr>
              <w:spacing w:after="0"/>
              <w:rPr>
                <w:rFonts w:asciiTheme="minorHAnsi" w:hAnsiTheme="minorHAnsi" w:cstheme="minorHAnsi"/>
                <w:color w:val="000000"/>
                <w:sz w:val="18"/>
                <w:szCs w:val="18"/>
              </w:rPr>
            </w:pPr>
            <w:r w:rsidRPr="00396C98">
              <w:rPr>
                <w:rFonts w:asciiTheme="minorHAnsi" w:hAnsiTheme="minorHAnsi" w:cstheme="minorHAnsi"/>
                <w:color w:val="000000"/>
                <w:sz w:val="18"/>
                <w:szCs w:val="18"/>
              </w:rPr>
              <w:t>Colon &amp; rectum cancer</w:t>
            </w:r>
          </w:p>
        </w:tc>
        <w:tc>
          <w:tcPr>
            <w:tcW w:w="1769" w:type="dxa"/>
          </w:tcPr>
          <w:p w:rsidR="004639EC" w:rsidRPr="00396C98" w:rsidRDefault="004639EC" w:rsidP="00516500">
            <w:pPr>
              <w:spacing w:after="0"/>
              <w:jc w:val="center"/>
              <w:rPr>
                <w:rFonts w:asciiTheme="minorHAnsi" w:hAnsiTheme="minorHAnsi" w:cstheme="minorHAnsi"/>
                <w:color w:val="000000"/>
                <w:sz w:val="18"/>
                <w:szCs w:val="18"/>
              </w:rPr>
            </w:pPr>
            <w:r w:rsidRPr="00396C98">
              <w:rPr>
                <w:rFonts w:asciiTheme="minorHAnsi" w:hAnsiTheme="minorHAnsi" w:cstheme="minorHAnsi"/>
                <w:color w:val="000000"/>
                <w:sz w:val="18"/>
                <w:szCs w:val="18"/>
              </w:rPr>
              <w:t>11</w:t>
            </w:r>
            <w:r w:rsidR="00516500">
              <w:rPr>
                <w:rFonts w:asciiTheme="minorHAnsi" w:hAnsiTheme="minorHAnsi" w:cstheme="minorHAnsi"/>
                <w:color w:val="000000"/>
                <w:sz w:val="18"/>
                <w:szCs w:val="18"/>
              </w:rPr>
              <w:t>.</w:t>
            </w:r>
            <w:r w:rsidRPr="00396C98">
              <w:rPr>
                <w:rFonts w:asciiTheme="minorHAnsi" w:hAnsiTheme="minorHAnsi" w:cstheme="minorHAnsi"/>
                <w:color w:val="000000"/>
                <w:sz w:val="18"/>
                <w:szCs w:val="18"/>
              </w:rPr>
              <w:t>6</w:t>
            </w:r>
          </w:p>
        </w:tc>
        <w:tc>
          <w:tcPr>
            <w:tcW w:w="1769" w:type="dxa"/>
          </w:tcPr>
          <w:p w:rsidR="004639EC" w:rsidRPr="00396C98" w:rsidRDefault="004639EC" w:rsidP="00516500">
            <w:pPr>
              <w:spacing w:after="0"/>
              <w:jc w:val="center"/>
              <w:rPr>
                <w:rFonts w:asciiTheme="minorHAnsi" w:hAnsiTheme="minorHAnsi" w:cstheme="minorHAnsi"/>
                <w:color w:val="000000"/>
                <w:sz w:val="18"/>
                <w:szCs w:val="18"/>
              </w:rPr>
            </w:pPr>
            <w:r w:rsidRPr="00396C98">
              <w:rPr>
                <w:rFonts w:asciiTheme="minorHAnsi" w:hAnsiTheme="minorHAnsi" w:cstheme="minorHAnsi"/>
                <w:color w:val="000000"/>
                <w:sz w:val="18"/>
                <w:szCs w:val="18"/>
              </w:rPr>
              <w:t>16</w:t>
            </w:r>
            <w:r w:rsidR="00516500">
              <w:rPr>
                <w:rFonts w:asciiTheme="minorHAnsi" w:hAnsiTheme="minorHAnsi" w:cstheme="minorHAnsi"/>
                <w:color w:val="000000"/>
                <w:sz w:val="18"/>
                <w:szCs w:val="18"/>
              </w:rPr>
              <w:t>.</w:t>
            </w:r>
            <w:r w:rsidRPr="00396C98">
              <w:rPr>
                <w:rFonts w:asciiTheme="minorHAnsi" w:hAnsiTheme="minorHAnsi" w:cstheme="minorHAnsi"/>
                <w:color w:val="000000"/>
                <w:sz w:val="18"/>
                <w:szCs w:val="18"/>
              </w:rPr>
              <w:t>1</w:t>
            </w:r>
          </w:p>
        </w:tc>
        <w:tc>
          <w:tcPr>
            <w:tcW w:w="1770" w:type="dxa"/>
          </w:tcPr>
          <w:p w:rsidR="004639EC" w:rsidRPr="00396C98" w:rsidRDefault="00516500" w:rsidP="00396C98">
            <w:pPr>
              <w:spacing w:after="0"/>
              <w:jc w:val="center"/>
              <w:rPr>
                <w:rFonts w:asciiTheme="minorHAnsi" w:hAnsiTheme="minorHAnsi" w:cstheme="minorHAnsi"/>
                <w:color w:val="000000"/>
                <w:sz w:val="18"/>
                <w:szCs w:val="18"/>
              </w:rPr>
            </w:pPr>
            <w:r>
              <w:rPr>
                <w:rFonts w:asciiTheme="minorHAnsi" w:hAnsiTheme="minorHAnsi" w:cstheme="minorHAnsi"/>
                <w:color w:val="000000"/>
                <w:sz w:val="18"/>
                <w:szCs w:val="18"/>
              </w:rPr>
              <w:t>13.</w:t>
            </w:r>
            <w:r w:rsidR="004639EC" w:rsidRPr="00396C98">
              <w:rPr>
                <w:rFonts w:asciiTheme="minorHAnsi" w:hAnsiTheme="minorHAnsi" w:cstheme="minorHAnsi"/>
                <w:color w:val="000000"/>
                <w:sz w:val="18"/>
                <w:szCs w:val="18"/>
              </w:rPr>
              <w:t>3</w:t>
            </w:r>
          </w:p>
        </w:tc>
      </w:tr>
      <w:tr w:rsidR="004639EC" w:rsidRPr="00201BF8" w:rsidTr="005E5CB1">
        <w:tc>
          <w:tcPr>
            <w:tcW w:w="2337" w:type="dxa"/>
          </w:tcPr>
          <w:p w:rsidR="004639EC" w:rsidRPr="00396C98" w:rsidRDefault="00201BF8" w:rsidP="00563642">
            <w:pPr>
              <w:spacing w:after="0"/>
              <w:rPr>
                <w:rFonts w:asciiTheme="minorHAnsi" w:hAnsiTheme="minorHAnsi" w:cstheme="minorHAnsi"/>
                <w:color w:val="000000"/>
                <w:sz w:val="18"/>
                <w:szCs w:val="18"/>
              </w:rPr>
            </w:pPr>
            <w:r>
              <w:rPr>
                <w:rFonts w:asciiTheme="minorHAnsi" w:hAnsiTheme="minorHAnsi" w:cstheme="minorHAnsi"/>
                <w:color w:val="000000"/>
                <w:sz w:val="18"/>
                <w:szCs w:val="18"/>
              </w:rPr>
              <w:t>S</w:t>
            </w:r>
            <w:r w:rsidRPr="00396C98">
              <w:rPr>
                <w:rFonts w:asciiTheme="minorHAnsi" w:hAnsiTheme="minorHAnsi" w:cstheme="minorHAnsi"/>
                <w:color w:val="000000"/>
                <w:sz w:val="18"/>
                <w:szCs w:val="18"/>
              </w:rPr>
              <w:t>elf</w:t>
            </w:r>
            <w:r w:rsidR="004639EC" w:rsidRPr="00396C98">
              <w:rPr>
                <w:rFonts w:asciiTheme="minorHAnsi" w:hAnsiTheme="minorHAnsi" w:cstheme="minorHAnsi"/>
                <w:color w:val="000000"/>
                <w:sz w:val="18"/>
                <w:szCs w:val="18"/>
              </w:rPr>
              <w:t>-harm</w:t>
            </w:r>
          </w:p>
        </w:tc>
        <w:tc>
          <w:tcPr>
            <w:tcW w:w="1769" w:type="dxa"/>
          </w:tcPr>
          <w:p w:rsidR="004639EC" w:rsidRPr="00396C98" w:rsidRDefault="00516500" w:rsidP="00396C98">
            <w:pPr>
              <w:spacing w:after="0"/>
              <w:jc w:val="center"/>
              <w:rPr>
                <w:rFonts w:asciiTheme="minorHAnsi" w:hAnsiTheme="minorHAnsi" w:cstheme="minorHAnsi"/>
                <w:color w:val="000000"/>
                <w:sz w:val="18"/>
                <w:szCs w:val="18"/>
              </w:rPr>
            </w:pPr>
            <w:r>
              <w:rPr>
                <w:rFonts w:asciiTheme="minorHAnsi" w:hAnsiTheme="minorHAnsi" w:cstheme="minorHAnsi"/>
                <w:color w:val="000000"/>
                <w:sz w:val="18"/>
                <w:szCs w:val="18"/>
              </w:rPr>
              <w:t>7.</w:t>
            </w:r>
            <w:r w:rsidR="004639EC" w:rsidRPr="00396C98">
              <w:rPr>
                <w:rFonts w:asciiTheme="minorHAnsi" w:hAnsiTheme="minorHAnsi" w:cstheme="minorHAnsi"/>
                <w:color w:val="000000"/>
                <w:sz w:val="18"/>
                <w:szCs w:val="18"/>
              </w:rPr>
              <w:t>2</w:t>
            </w:r>
          </w:p>
        </w:tc>
        <w:tc>
          <w:tcPr>
            <w:tcW w:w="1769" w:type="dxa"/>
          </w:tcPr>
          <w:p w:rsidR="004639EC" w:rsidRPr="00396C98" w:rsidRDefault="00516500" w:rsidP="00396C98">
            <w:pPr>
              <w:spacing w:after="0"/>
              <w:jc w:val="center"/>
              <w:rPr>
                <w:rFonts w:asciiTheme="minorHAnsi" w:hAnsiTheme="minorHAnsi" w:cstheme="minorHAnsi"/>
                <w:color w:val="000000"/>
                <w:sz w:val="18"/>
                <w:szCs w:val="18"/>
              </w:rPr>
            </w:pPr>
            <w:r>
              <w:rPr>
                <w:rFonts w:asciiTheme="minorHAnsi" w:hAnsiTheme="minorHAnsi" w:cstheme="minorHAnsi"/>
                <w:color w:val="000000"/>
                <w:sz w:val="18"/>
                <w:szCs w:val="18"/>
              </w:rPr>
              <w:t>8.</w:t>
            </w:r>
            <w:r w:rsidR="004639EC" w:rsidRPr="00396C98">
              <w:rPr>
                <w:rFonts w:asciiTheme="minorHAnsi" w:hAnsiTheme="minorHAnsi" w:cstheme="minorHAnsi"/>
                <w:color w:val="000000"/>
                <w:sz w:val="18"/>
                <w:szCs w:val="18"/>
              </w:rPr>
              <w:t>5</w:t>
            </w:r>
          </w:p>
        </w:tc>
        <w:tc>
          <w:tcPr>
            <w:tcW w:w="1770" w:type="dxa"/>
          </w:tcPr>
          <w:p w:rsidR="004639EC" w:rsidRPr="00396C98" w:rsidRDefault="00516500" w:rsidP="00396C98">
            <w:pPr>
              <w:spacing w:after="0"/>
              <w:jc w:val="center"/>
              <w:rPr>
                <w:rFonts w:asciiTheme="minorHAnsi" w:hAnsiTheme="minorHAnsi" w:cstheme="minorHAnsi"/>
                <w:color w:val="000000"/>
                <w:sz w:val="18"/>
                <w:szCs w:val="18"/>
              </w:rPr>
            </w:pPr>
            <w:r>
              <w:rPr>
                <w:rFonts w:asciiTheme="minorHAnsi" w:hAnsiTheme="minorHAnsi" w:cstheme="minorHAnsi"/>
                <w:color w:val="000000"/>
                <w:sz w:val="18"/>
                <w:szCs w:val="18"/>
              </w:rPr>
              <w:t>10.</w:t>
            </w:r>
            <w:r w:rsidR="004639EC" w:rsidRPr="00396C98">
              <w:rPr>
                <w:rFonts w:asciiTheme="minorHAnsi" w:hAnsiTheme="minorHAnsi" w:cstheme="minorHAnsi"/>
                <w:color w:val="000000"/>
                <w:sz w:val="18"/>
                <w:szCs w:val="18"/>
              </w:rPr>
              <w:t>6</w:t>
            </w:r>
          </w:p>
        </w:tc>
      </w:tr>
    </w:tbl>
    <w:p w:rsidR="00A920A4" w:rsidRPr="00A920A4" w:rsidRDefault="00A920A4" w:rsidP="00A920A4">
      <w:pPr>
        <w:rPr>
          <w:sz w:val="18"/>
          <w:szCs w:val="18"/>
          <w:lang w:eastAsia="en-AU"/>
        </w:rPr>
      </w:pPr>
      <w:r w:rsidRPr="00A920A4">
        <w:rPr>
          <w:sz w:val="18"/>
          <w:szCs w:val="18"/>
          <w:lang w:eastAsia="en-AU"/>
        </w:rPr>
        <w:t>Source</w:t>
      </w:r>
      <w:r w:rsidRPr="00396C98">
        <w:rPr>
          <w:sz w:val="18"/>
          <w:szCs w:val="18"/>
          <w:lang w:eastAsia="en-AU"/>
        </w:rPr>
        <w:t xml:space="preserve">: </w:t>
      </w:r>
      <w:proofErr w:type="spellStart"/>
      <w:r w:rsidR="005E5CB1" w:rsidRPr="005E5CB1">
        <w:rPr>
          <w:sz w:val="18"/>
          <w:szCs w:val="18"/>
          <w:lang w:eastAsia="en-AU"/>
        </w:rPr>
        <w:t>Maigeng</w:t>
      </w:r>
      <w:proofErr w:type="spellEnd"/>
      <w:r w:rsidR="005E5CB1" w:rsidRPr="005E5CB1">
        <w:rPr>
          <w:sz w:val="18"/>
          <w:szCs w:val="18"/>
          <w:lang w:eastAsia="en-AU"/>
        </w:rPr>
        <w:t xml:space="preserve"> Zhou et al.</w:t>
      </w:r>
      <w:r w:rsidRPr="00A920A4">
        <w:rPr>
          <w:sz w:val="18"/>
          <w:szCs w:val="18"/>
          <w:lang w:eastAsia="en-AU"/>
        </w:rPr>
        <w:t xml:space="preserve"> </w:t>
      </w:r>
      <w:r w:rsidR="00201BF8">
        <w:rPr>
          <w:sz w:val="18"/>
          <w:szCs w:val="18"/>
          <w:lang w:eastAsia="en-AU"/>
        </w:rPr>
        <w:t>(</w:t>
      </w:r>
      <w:r w:rsidR="00201BF8" w:rsidRPr="00A920A4">
        <w:rPr>
          <w:sz w:val="18"/>
          <w:szCs w:val="18"/>
          <w:lang w:eastAsia="en-AU"/>
        </w:rPr>
        <w:t>2</w:t>
      </w:r>
      <w:r w:rsidR="00201BF8">
        <w:rPr>
          <w:sz w:val="18"/>
          <w:szCs w:val="18"/>
          <w:lang w:eastAsia="en-AU"/>
        </w:rPr>
        <w:t>01</w:t>
      </w:r>
      <w:r w:rsidR="00201BF8" w:rsidRPr="00A920A4">
        <w:rPr>
          <w:sz w:val="18"/>
          <w:szCs w:val="18"/>
          <w:lang w:eastAsia="en-AU"/>
        </w:rPr>
        <w:t>6</w:t>
      </w:r>
      <w:r w:rsidR="00201BF8">
        <w:rPr>
          <w:sz w:val="18"/>
          <w:szCs w:val="18"/>
          <w:lang w:eastAsia="en-AU"/>
        </w:rPr>
        <w:t>).</w:t>
      </w:r>
    </w:p>
    <w:p w:rsidR="00063666" w:rsidRDefault="00864E95" w:rsidP="00CC534D">
      <w:pPr>
        <w:rPr>
          <w:lang w:eastAsia="en-AU"/>
        </w:rPr>
      </w:pPr>
      <w:r>
        <w:rPr>
          <w:lang w:eastAsia="en-AU"/>
        </w:rPr>
        <w:t xml:space="preserve">Cancers account for one third of the leading causes of death for men in Jiangsu. Lung cancer is the largest at 54.2 per 100,000 men, </w:t>
      </w:r>
      <w:r w:rsidR="00201BF8">
        <w:rPr>
          <w:lang w:eastAsia="en-AU"/>
        </w:rPr>
        <w:t xml:space="preserve">stomach </w:t>
      </w:r>
      <w:r>
        <w:rPr>
          <w:lang w:eastAsia="en-AU"/>
        </w:rPr>
        <w:t xml:space="preserve">cancer (46.0), </w:t>
      </w:r>
      <w:r w:rsidR="00201BF8">
        <w:rPr>
          <w:lang w:eastAsia="en-AU"/>
        </w:rPr>
        <w:t xml:space="preserve">oesophageal </w:t>
      </w:r>
      <w:r>
        <w:rPr>
          <w:lang w:eastAsia="en-AU"/>
        </w:rPr>
        <w:t xml:space="preserve">(42.5), </w:t>
      </w:r>
      <w:r w:rsidR="00201BF8">
        <w:rPr>
          <w:lang w:eastAsia="en-AU"/>
        </w:rPr>
        <w:t xml:space="preserve">liver </w:t>
      </w:r>
      <w:r>
        <w:rPr>
          <w:lang w:eastAsia="en-AU"/>
        </w:rPr>
        <w:t>(37.1)</w:t>
      </w:r>
      <w:r w:rsidR="00201BF8">
        <w:rPr>
          <w:lang w:eastAsia="en-AU"/>
        </w:rPr>
        <w:t>,</w:t>
      </w:r>
      <w:r>
        <w:rPr>
          <w:lang w:eastAsia="en-AU"/>
        </w:rPr>
        <w:t xml:space="preserve"> and </w:t>
      </w:r>
      <w:r w:rsidR="00201BF8">
        <w:rPr>
          <w:lang w:eastAsia="en-AU"/>
        </w:rPr>
        <w:t xml:space="preserve">colon and </w:t>
      </w:r>
      <w:r>
        <w:rPr>
          <w:lang w:eastAsia="en-AU"/>
        </w:rPr>
        <w:t>rectum cancer (11.6) (see Table 1A)</w:t>
      </w:r>
      <w:r w:rsidR="00201BF8">
        <w:rPr>
          <w:lang w:eastAsia="en-AU"/>
        </w:rPr>
        <w:t>.</w:t>
      </w:r>
      <w:r>
        <w:rPr>
          <w:lang w:eastAsia="en-AU"/>
        </w:rPr>
        <w:t xml:space="preserve"> </w:t>
      </w:r>
      <w:r w:rsidR="00063666">
        <w:rPr>
          <w:lang w:eastAsia="en-AU"/>
        </w:rPr>
        <w:t xml:space="preserve">Cerebrovascular disease </w:t>
      </w:r>
      <w:r w:rsidR="00CC534D">
        <w:rPr>
          <w:lang w:eastAsia="en-AU"/>
        </w:rPr>
        <w:t>is the leading cause of death for m</w:t>
      </w:r>
      <w:r w:rsidR="0033255E">
        <w:rPr>
          <w:lang w:eastAsia="en-AU"/>
        </w:rPr>
        <w:t>e</w:t>
      </w:r>
      <w:r w:rsidR="00CC534D">
        <w:rPr>
          <w:lang w:eastAsia="en-AU"/>
        </w:rPr>
        <w:t xml:space="preserve">n in Jiangsu, this is followed by </w:t>
      </w:r>
      <w:r w:rsidR="00201BF8">
        <w:rPr>
          <w:lang w:eastAsia="en-AU"/>
        </w:rPr>
        <w:t xml:space="preserve">ischaemic </w:t>
      </w:r>
      <w:r w:rsidR="00CC534D">
        <w:rPr>
          <w:lang w:eastAsia="en-AU"/>
        </w:rPr>
        <w:t xml:space="preserve">heart disease, COPD, </w:t>
      </w:r>
      <w:r w:rsidR="00201BF8">
        <w:rPr>
          <w:lang w:eastAsia="en-AU"/>
        </w:rPr>
        <w:t xml:space="preserve">lung </w:t>
      </w:r>
      <w:r w:rsidR="00CC534D">
        <w:rPr>
          <w:lang w:eastAsia="en-AU"/>
        </w:rPr>
        <w:t xml:space="preserve">cancer, </w:t>
      </w:r>
      <w:r w:rsidR="00201BF8">
        <w:rPr>
          <w:lang w:eastAsia="en-AU"/>
        </w:rPr>
        <w:t xml:space="preserve">stomach </w:t>
      </w:r>
      <w:r w:rsidR="00CC534D">
        <w:rPr>
          <w:lang w:eastAsia="en-AU"/>
        </w:rPr>
        <w:t xml:space="preserve">cancer and </w:t>
      </w:r>
      <w:r w:rsidR="00201BF8">
        <w:rPr>
          <w:lang w:eastAsia="en-AU"/>
        </w:rPr>
        <w:t xml:space="preserve">oesophageal </w:t>
      </w:r>
      <w:r w:rsidR="00CC534D">
        <w:rPr>
          <w:lang w:eastAsia="en-AU"/>
        </w:rPr>
        <w:t xml:space="preserve">cancer. Jiangsu death rate is considerably lower than China’s for </w:t>
      </w:r>
      <w:r w:rsidR="00201BF8">
        <w:rPr>
          <w:lang w:eastAsia="en-AU"/>
        </w:rPr>
        <w:t xml:space="preserve">cerebrovascular </w:t>
      </w:r>
      <w:r w:rsidR="00CC534D">
        <w:rPr>
          <w:lang w:eastAsia="en-AU"/>
        </w:rPr>
        <w:t xml:space="preserve">disease, </w:t>
      </w:r>
      <w:r w:rsidR="00201BF8">
        <w:rPr>
          <w:lang w:eastAsia="en-AU"/>
        </w:rPr>
        <w:t xml:space="preserve">ischaemic </w:t>
      </w:r>
      <w:r w:rsidR="00CC534D">
        <w:rPr>
          <w:lang w:eastAsia="en-AU"/>
        </w:rPr>
        <w:t>heart disease, COPD and lung cancer</w:t>
      </w:r>
      <w:r w:rsidR="00201BF8">
        <w:rPr>
          <w:lang w:eastAsia="en-AU"/>
        </w:rPr>
        <w:t>,</w:t>
      </w:r>
      <w:r w:rsidR="00CC534D">
        <w:rPr>
          <w:lang w:eastAsia="en-AU"/>
        </w:rPr>
        <w:t xml:space="preserve"> but significantly higher for </w:t>
      </w:r>
      <w:r w:rsidR="00201BF8">
        <w:rPr>
          <w:lang w:eastAsia="en-AU"/>
        </w:rPr>
        <w:t xml:space="preserve">stomach </w:t>
      </w:r>
      <w:r w:rsidR="00CC534D">
        <w:rPr>
          <w:lang w:eastAsia="en-AU"/>
        </w:rPr>
        <w:t xml:space="preserve">and </w:t>
      </w:r>
      <w:r w:rsidR="00563642">
        <w:rPr>
          <w:lang w:eastAsia="en-AU"/>
        </w:rPr>
        <w:t>oesophageal</w:t>
      </w:r>
      <w:r w:rsidR="00201BF8">
        <w:rPr>
          <w:lang w:eastAsia="en-AU"/>
        </w:rPr>
        <w:t xml:space="preserve"> </w:t>
      </w:r>
      <w:r w:rsidR="00CC534D">
        <w:rPr>
          <w:lang w:eastAsia="en-AU"/>
        </w:rPr>
        <w:t xml:space="preserve">cancers. Zhejiang is considerably lower than Jiangsu for </w:t>
      </w:r>
      <w:r w:rsidR="00201BF8">
        <w:rPr>
          <w:lang w:eastAsia="en-AU"/>
        </w:rPr>
        <w:t xml:space="preserve">cerebrovascular </w:t>
      </w:r>
      <w:r w:rsidR="00CC534D">
        <w:rPr>
          <w:lang w:eastAsia="en-AU"/>
        </w:rPr>
        <w:t>disease</w:t>
      </w:r>
      <w:r w:rsidR="001440F4">
        <w:rPr>
          <w:lang w:eastAsia="en-AU"/>
        </w:rPr>
        <w:t>,</w:t>
      </w:r>
      <w:r w:rsidR="00CC534D">
        <w:rPr>
          <w:lang w:eastAsia="en-AU"/>
        </w:rPr>
        <w:t xml:space="preserve"> </w:t>
      </w:r>
      <w:r w:rsidR="00201BF8">
        <w:rPr>
          <w:lang w:eastAsia="en-AU"/>
        </w:rPr>
        <w:t xml:space="preserve">ischaemic </w:t>
      </w:r>
      <w:r w:rsidR="00CC534D">
        <w:rPr>
          <w:lang w:eastAsia="en-AU"/>
        </w:rPr>
        <w:t>heart disease</w:t>
      </w:r>
      <w:r w:rsidR="001440F4">
        <w:rPr>
          <w:lang w:eastAsia="en-AU"/>
        </w:rPr>
        <w:t xml:space="preserve">, </w:t>
      </w:r>
      <w:r w:rsidR="00201BF8">
        <w:rPr>
          <w:lang w:eastAsia="en-AU"/>
        </w:rPr>
        <w:t xml:space="preserve">liver </w:t>
      </w:r>
      <w:r w:rsidR="001440F4">
        <w:rPr>
          <w:lang w:eastAsia="en-AU"/>
        </w:rPr>
        <w:t xml:space="preserve">cancer and </w:t>
      </w:r>
      <w:r w:rsidR="00201BF8">
        <w:rPr>
          <w:lang w:eastAsia="en-AU"/>
        </w:rPr>
        <w:t xml:space="preserve">stomach </w:t>
      </w:r>
      <w:r w:rsidR="001440F4">
        <w:rPr>
          <w:lang w:eastAsia="en-AU"/>
        </w:rPr>
        <w:t>cancer</w:t>
      </w:r>
      <w:r w:rsidR="00201BF8">
        <w:rPr>
          <w:lang w:eastAsia="en-AU"/>
        </w:rPr>
        <w:t>,</w:t>
      </w:r>
      <w:r w:rsidR="001440F4">
        <w:rPr>
          <w:lang w:eastAsia="en-AU"/>
        </w:rPr>
        <w:t xml:space="preserve"> but higher for COPD, </w:t>
      </w:r>
      <w:r w:rsidR="00201BF8">
        <w:rPr>
          <w:lang w:eastAsia="en-AU"/>
        </w:rPr>
        <w:t xml:space="preserve">lung </w:t>
      </w:r>
      <w:r w:rsidR="001440F4">
        <w:rPr>
          <w:lang w:eastAsia="en-AU"/>
        </w:rPr>
        <w:t xml:space="preserve">cancer, Alzheimer’s disease and </w:t>
      </w:r>
      <w:r w:rsidR="00201BF8">
        <w:rPr>
          <w:lang w:eastAsia="en-AU"/>
        </w:rPr>
        <w:t xml:space="preserve">lower </w:t>
      </w:r>
      <w:r w:rsidR="001440F4">
        <w:rPr>
          <w:lang w:eastAsia="en-AU"/>
        </w:rPr>
        <w:t>respiratory infections.</w:t>
      </w:r>
    </w:p>
    <w:p w:rsidR="00063666" w:rsidRDefault="00232158" w:rsidP="00063666">
      <w:pPr>
        <w:pStyle w:val="Figureheading"/>
      </w:pPr>
      <w:r>
        <w:t>Table 1B</w:t>
      </w:r>
      <w:r w:rsidR="00063666">
        <w:t xml:space="preserve"> Age-</w:t>
      </w:r>
      <w:proofErr w:type="spellStart"/>
      <w:r w:rsidR="00063666">
        <w:t>standardised</w:t>
      </w:r>
      <w:proofErr w:type="spellEnd"/>
      <w:r w:rsidR="00063666">
        <w:t xml:space="preserve"> death rates for women (100,000 per people) leading causes</w:t>
      </w:r>
      <w:r w:rsidR="00201BF8">
        <w:t>,</w:t>
      </w:r>
      <w:r w:rsidR="00063666">
        <w:t xml:space="preserve"> China and provinces</w:t>
      </w:r>
      <w:r w:rsidR="00201BF8">
        <w:t xml:space="preserve">, </w:t>
      </w:r>
      <w:r w:rsidR="00063666">
        <w:t xml:space="preserve">2013 </w:t>
      </w:r>
    </w:p>
    <w:tbl>
      <w:tblPr>
        <w:tblStyle w:val="LightList-Accent11"/>
        <w:tblW w:w="0" w:type="auto"/>
        <w:tblLook w:val="0420" w:firstRow="1" w:lastRow="0" w:firstColumn="0" w:lastColumn="0" w:noHBand="0" w:noVBand="1"/>
      </w:tblPr>
      <w:tblGrid>
        <w:gridCol w:w="2337"/>
        <w:gridCol w:w="1816"/>
        <w:gridCol w:w="1817"/>
        <w:gridCol w:w="1817"/>
      </w:tblGrid>
      <w:tr w:rsidR="005E5CB1" w:rsidRPr="005E5CB1" w:rsidTr="005E5CB1">
        <w:trPr>
          <w:cnfStyle w:val="100000000000" w:firstRow="1" w:lastRow="0" w:firstColumn="0" w:lastColumn="0" w:oddVBand="0" w:evenVBand="0" w:oddHBand="0" w:evenHBand="0" w:firstRowFirstColumn="0" w:firstRowLastColumn="0" w:lastRowFirstColumn="0" w:lastRowLastColumn="0"/>
        </w:trPr>
        <w:tc>
          <w:tcPr>
            <w:tcW w:w="2337" w:type="dxa"/>
          </w:tcPr>
          <w:p w:rsidR="00063666" w:rsidRPr="005E5CB1" w:rsidRDefault="00063666" w:rsidP="00563642">
            <w:pPr>
              <w:spacing w:after="0"/>
              <w:rPr>
                <w:rFonts w:asciiTheme="minorHAnsi" w:hAnsiTheme="minorHAnsi" w:cstheme="minorHAnsi"/>
                <w:b w:val="0"/>
                <w:sz w:val="18"/>
                <w:szCs w:val="18"/>
              </w:rPr>
            </w:pPr>
            <w:r w:rsidRPr="005E5CB1">
              <w:rPr>
                <w:rFonts w:asciiTheme="minorHAnsi" w:hAnsiTheme="minorHAnsi" w:cstheme="minorHAnsi"/>
                <w:sz w:val="18"/>
                <w:szCs w:val="18"/>
              </w:rPr>
              <w:t>Cause of death</w:t>
            </w:r>
          </w:p>
        </w:tc>
        <w:tc>
          <w:tcPr>
            <w:tcW w:w="1816" w:type="dxa"/>
          </w:tcPr>
          <w:p w:rsidR="00063666" w:rsidRPr="005E5CB1" w:rsidRDefault="00063666" w:rsidP="00396C98">
            <w:pPr>
              <w:spacing w:after="0"/>
              <w:jc w:val="center"/>
              <w:rPr>
                <w:rFonts w:asciiTheme="minorHAnsi" w:hAnsiTheme="minorHAnsi" w:cstheme="minorHAnsi"/>
                <w:b w:val="0"/>
                <w:sz w:val="18"/>
                <w:szCs w:val="18"/>
              </w:rPr>
            </w:pPr>
            <w:r w:rsidRPr="005E5CB1">
              <w:rPr>
                <w:rFonts w:asciiTheme="minorHAnsi" w:hAnsiTheme="minorHAnsi" w:cstheme="minorHAnsi"/>
                <w:sz w:val="18"/>
                <w:szCs w:val="18"/>
              </w:rPr>
              <w:t>Jiangsu</w:t>
            </w:r>
          </w:p>
        </w:tc>
        <w:tc>
          <w:tcPr>
            <w:tcW w:w="1817" w:type="dxa"/>
          </w:tcPr>
          <w:p w:rsidR="00063666" w:rsidRPr="005E5CB1" w:rsidRDefault="00063666" w:rsidP="00396C98">
            <w:pPr>
              <w:spacing w:after="0"/>
              <w:jc w:val="center"/>
              <w:rPr>
                <w:rFonts w:asciiTheme="minorHAnsi" w:hAnsiTheme="minorHAnsi" w:cstheme="minorHAnsi"/>
                <w:b w:val="0"/>
                <w:sz w:val="18"/>
                <w:szCs w:val="18"/>
              </w:rPr>
            </w:pPr>
            <w:r w:rsidRPr="005E5CB1">
              <w:rPr>
                <w:rFonts w:asciiTheme="minorHAnsi" w:hAnsiTheme="minorHAnsi" w:cstheme="minorHAnsi"/>
                <w:sz w:val="18"/>
                <w:szCs w:val="18"/>
              </w:rPr>
              <w:t>Zhejiang</w:t>
            </w:r>
          </w:p>
        </w:tc>
        <w:tc>
          <w:tcPr>
            <w:tcW w:w="1817" w:type="dxa"/>
          </w:tcPr>
          <w:p w:rsidR="00063666" w:rsidRPr="005E5CB1" w:rsidRDefault="00063666" w:rsidP="00396C98">
            <w:pPr>
              <w:spacing w:after="0"/>
              <w:jc w:val="center"/>
              <w:rPr>
                <w:rFonts w:asciiTheme="minorHAnsi" w:hAnsiTheme="minorHAnsi" w:cstheme="minorHAnsi"/>
                <w:b w:val="0"/>
                <w:sz w:val="18"/>
                <w:szCs w:val="18"/>
              </w:rPr>
            </w:pPr>
            <w:r w:rsidRPr="005E5CB1">
              <w:rPr>
                <w:rFonts w:asciiTheme="minorHAnsi" w:hAnsiTheme="minorHAnsi" w:cstheme="minorHAnsi"/>
                <w:sz w:val="18"/>
                <w:szCs w:val="18"/>
              </w:rPr>
              <w:t>China</w:t>
            </w:r>
          </w:p>
        </w:tc>
      </w:tr>
      <w:tr w:rsidR="00063666" w:rsidRPr="00201BF8" w:rsidTr="005E5CB1">
        <w:trPr>
          <w:cnfStyle w:val="000000100000" w:firstRow="0" w:lastRow="0" w:firstColumn="0" w:lastColumn="0" w:oddVBand="0" w:evenVBand="0" w:oddHBand="1" w:evenHBand="0" w:firstRowFirstColumn="0" w:firstRowLastColumn="0" w:lastRowFirstColumn="0" w:lastRowLastColumn="0"/>
        </w:trPr>
        <w:tc>
          <w:tcPr>
            <w:tcW w:w="2337" w:type="dxa"/>
          </w:tcPr>
          <w:p w:rsidR="00063666" w:rsidRPr="00396C98" w:rsidRDefault="00063666" w:rsidP="00563642">
            <w:pPr>
              <w:spacing w:after="0"/>
              <w:rPr>
                <w:rFonts w:asciiTheme="minorHAnsi" w:hAnsiTheme="minorHAnsi" w:cstheme="minorHAnsi"/>
                <w:color w:val="000000"/>
                <w:sz w:val="18"/>
                <w:szCs w:val="18"/>
              </w:rPr>
            </w:pPr>
            <w:r w:rsidRPr="00396C98">
              <w:rPr>
                <w:rFonts w:asciiTheme="minorHAnsi" w:hAnsiTheme="minorHAnsi" w:cstheme="minorHAnsi"/>
                <w:color w:val="000000"/>
                <w:sz w:val="18"/>
                <w:szCs w:val="18"/>
              </w:rPr>
              <w:t>Cerebrovascular disease</w:t>
            </w:r>
          </w:p>
        </w:tc>
        <w:tc>
          <w:tcPr>
            <w:tcW w:w="1816" w:type="dxa"/>
          </w:tcPr>
          <w:p w:rsidR="00063666" w:rsidRPr="00396C98" w:rsidRDefault="00516500" w:rsidP="00396C98">
            <w:pPr>
              <w:spacing w:after="0"/>
              <w:jc w:val="center"/>
              <w:rPr>
                <w:rFonts w:asciiTheme="minorHAnsi" w:hAnsiTheme="minorHAnsi" w:cstheme="minorHAnsi"/>
                <w:color w:val="000000"/>
                <w:sz w:val="18"/>
                <w:szCs w:val="18"/>
              </w:rPr>
            </w:pPr>
            <w:r>
              <w:rPr>
                <w:rFonts w:asciiTheme="minorHAnsi" w:hAnsiTheme="minorHAnsi" w:cstheme="minorHAnsi"/>
                <w:color w:val="000000"/>
                <w:sz w:val="18"/>
                <w:szCs w:val="18"/>
              </w:rPr>
              <w:t>112.</w:t>
            </w:r>
            <w:r w:rsidR="00063666" w:rsidRPr="00396C98">
              <w:rPr>
                <w:rFonts w:asciiTheme="minorHAnsi" w:hAnsiTheme="minorHAnsi" w:cstheme="minorHAnsi"/>
                <w:color w:val="000000"/>
                <w:sz w:val="18"/>
                <w:szCs w:val="18"/>
              </w:rPr>
              <w:t>7</w:t>
            </w:r>
          </w:p>
        </w:tc>
        <w:tc>
          <w:tcPr>
            <w:tcW w:w="1817" w:type="dxa"/>
          </w:tcPr>
          <w:p w:rsidR="00063666" w:rsidRPr="00396C98" w:rsidRDefault="00516500" w:rsidP="00396C98">
            <w:pPr>
              <w:spacing w:after="0"/>
              <w:jc w:val="center"/>
              <w:rPr>
                <w:rFonts w:asciiTheme="minorHAnsi" w:hAnsiTheme="minorHAnsi" w:cstheme="minorHAnsi"/>
                <w:color w:val="000000"/>
                <w:sz w:val="18"/>
                <w:szCs w:val="18"/>
              </w:rPr>
            </w:pPr>
            <w:r>
              <w:rPr>
                <w:rFonts w:asciiTheme="minorHAnsi" w:hAnsiTheme="minorHAnsi" w:cstheme="minorHAnsi"/>
                <w:color w:val="000000"/>
                <w:sz w:val="18"/>
                <w:szCs w:val="18"/>
              </w:rPr>
              <w:t>84.</w:t>
            </w:r>
            <w:r w:rsidR="00063666" w:rsidRPr="00396C98">
              <w:rPr>
                <w:rFonts w:asciiTheme="minorHAnsi" w:hAnsiTheme="minorHAnsi" w:cstheme="minorHAnsi"/>
                <w:color w:val="000000"/>
                <w:sz w:val="18"/>
                <w:szCs w:val="18"/>
              </w:rPr>
              <w:t>2</w:t>
            </w:r>
          </w:p>
        </w:tc>
        <w:tc>
          <w:tcPr>
            <w:tcW w:w="1817" w:type="dxa"/>
          </w:tcPr>
          <w:p w:rsidR="00063666" w:rsidRPr="00396C98" w:rsidRDefault="00516500" w:rsidP="00396C98">
            <w:pPr>
              <w:spacing w:after="0"/>
              <w:jc w:val="center"/>
              <w:rPr>
                <w:rFonts w:asciiTheme="minorHAnsi" w:hAnsiTheme="minorHAnsi" w:cstheme="minorHAnsi"/>
                <w:color w:val="000000"/>
                <w:sz w:val="18"/>
                <w:szCs w:val="18"/>
              </w:rPr>
            </w:pPr>
            <w:r>
              <w:rPr>
                <w:rFonts w:asciiTheme="minorHAnsi" w:hAnsiTheme="minorHAnsi" w:cstheme="minorHAnsi"/>
                <w:color w:val="000000"/>
                <w:sz w:val="18"/>
                <w:szCs w:val="18"/>
              </w:rPr>
              <w:t>127.</w:t>
            </w:r>
            <w:r w:rsidR="00063666" w:rsidRPr="00396C98">
              <w:rPr>
                <w:rFonts w:asciiTheme="minorHAnsi" w:hAnsiTheme="minorHAnsi" w:cstheme="minorHAnsi"/>
                <w:color w:val="000000"/>
                <w:sz w:val="18"/>
                <w:szCs w:val="18"/>
              </w:rPr>
              <w:t>5</w:t>
            </w:r>
          </w:p>
        </w:tc>
      </w:tr>
      <w:tr w:rsidR="00063666" w:rsidRPr="00201BF8" w:rsidTr="005E5CB1">
        <w:tc>
          <w:tcPr>
            <w:tcW w:w="2337" w:type="dxa"/>
          </w:tcPr>
          <w:p w:rsidR="00063666" w:rsidRPr="00396C98" w:rsidRDefault="00063666" w:rsidP="00563642">
            <w:pPr>
              <w:spacing w:after="0"/>
              <w:rPr>
                <w:rFonts w:asciiTheme="minorHAnsi" w:hAnsiTheme="minorHAnsi" w:cstheme="minorHAnsi"/>
                <w:color w:val="000000"/>
                <w:sz w:val="18"/>
                <w:szCs w:val="18"/>
              </w:rPr>
            </w:pPr>
            <w:proofErr w:type="spellStart"/>
            <w:r w:rsidRPr="00396C98">
              <w:rPr>
                <w:rFonts w:asciiTheme="minorHAnsi" w:hAnsiTheme="minorHAnsi" w:cstheme="minorHAnsi"/>
                <w:color w:val="000000"/>
                <w:sz w:val="18"/>
                <w:szCs w:val="18"/>
              </w:rPr>
              <w:t>Ischaemic</w:t>
            </w:r>
            <w:proofErr w:type="spellEnd"/>
            <w:r w:rsidRPr="00396C98">
              <w:rPr>
                <w:rFonts w:asciiTheme="minorHAnsi" w:hAnsiTheme="minorHAnsi" w:cstheme="minorHAnsi"/>
                <w:color w:val="000000"/>
                <w:sz w:val="18"/>
                <w:szCs w:val="18"/>
              </w:rPr>
              <w:t xml:space="preserve"> heart disease</w:t>
            </w:r>
          </w:p>
        </w:tc>
        <w:tc>
          <w:tcPr>
            <w:tcW w:w="1816" w:type="dxa"/>
          </w:tcPr>
          <w:p w:rsidR="00063666" w:rsidRPr="00396C98" w:rsidRDefault="00516500" w:rsidP="00396C98">
            <w:pPr>
              <w:spacing w:after="0"/>
              <w:jc w:val="center"/>
              <w:rPr>
                <w:rFonts w:asciiTheme="minorHAnsi" w:hAnsiTheme="minorHAnsi" w:cstheme="minorHAnsi"/>
                <w:color w:val="000000"/>
                <w:sz w:val="18"/>
                <w:szCs w:val="18"/>
              </w:rPr>
            </w:pPr>
            <w:r>
              <w:rPr>
                <w:rFonts w:asciiTheme="minorHAnsi" w:hAnsiTheme="minorHAnsi" w:cstheme="minorHAnsi"/>
                <w:color w:val="000000"/>
                <w:sz w:val="18"/>
                <w:szCs w:val="18"/>
              </w:rPr>
              <w:t>62.</w:t>
            </w:r>
            <w:r w:rsidR="00063666" w:rsidRPr="00396C98">
              <w:rPr>
                <w:rFonts w:asciiTheme="minorHAnsi" w:hAnsiTheme="minorHAnsi" w:cstheme="minorHAnsi"/>
                <w:color w:val="000000"/>
                <w:sz w:val="18"/>
                <w:szCs w:val="18"/>
              </w:rPr>
              <w:t>9</w:t>
            </w:r>
          </w:p>
        </w:tc>
        <w:tc>
          <w:tcPr>
            <w:tcW w:w="1817" w:type="dxa"/>
          </w:tcPr>
          <w:p w:rsidR="00063666" w:rsidRPr="00396C98" w:rsidRDefault="00516500" w:rsidP="00396C98">
            <w:pPr>
              <w:spacing w:after="0"/>
              <w:jc w:val="center"/>
              <w:rPr>
                <w:rFonts w:asciiTheme="minorHAnsi" w:hAnsiTheme="minorHAnsi" w:cstheme="minorHAnsi"/>
                <w:color w:val="000000"/>
                <w:sz w:val="18"/>
                <w:szCs w:val="18"/>
              </w:rPr>
            </w:pPr>
            <w:r>
              <w:rPr>
                <w:rFonts w:asciiTheme="minorHAnsi" w:hAnsiTheme="minorHAnsi" w:cstheme="minorHAnsi"/>
                <w:color w:val="000000"/>
                <w:sz w:val="18"/>
                <w:szCs w:val="18"/>
              </w:rPr>
              <w:t>38.</w:t>
            </w:r>
            <w:r w:rsidR="00063666" w:rsidRPr="00396C98">
              <w:rPr>
                <w:rFonts w:asciiTheme="minorHAnsi" w:hAnsiTheme="minorHAnsi" w:cstheme="minorHAnsi"/>
                <w:color w:val="000000"/>
                <w:sz w:val="18"/>
                <w:szCs w:val="18"/>
              </w:rPr>
              <w:t>7</w:t>
            </w:r>
          </w:p>
        </w:tc>
        <w:tc>
          <w:tcPr>
            <w:tcW w:w="1817" w:type="dxa"/>
          </w:tcPr>
          <w:p w:rsidR="00063666" w:rsidRPr="00396C98" w:rsidRDefault="00516500" w:rsidP="00396C98">
            <w:pPr>
              <w:spacing w:after="0"/>
              <w:jc w:val="center"/>
              <w:rPr>
                <w:rFonts w:asciiTheme="minorHAnsi" w:hAnsiTheme="minorHAnsi" w:cstheme="minorHAnsi"/>
                <w:color w:val="000000"/>
                <w:sz w:val="18"/>
                <w:szCs w:val="18"/>
              </w:rPr>
            </w:pPr>
            <w:r>
              <w:rPr>
                <w:rFonts w:asciiTheme="minorHAnsi" w:hAnsiTheme="minorHAnsi" w:cstheme="minorHAnsi"/>
                <w:color w:val="000000"/>
                <w:sz w:val="18"/>
                <w:szCs w:val="18"/>
              </w:rPr>
              <w:t>95.</w:t>
            </w:r>
            <w:r w:rsidR="00063666" w:rsidRPr="00396C98">
              <w:rPr>
                <w:rFonts w:asciiTheme="minorHAnsi" w:hAnsiTheme="minorHAnsi" w:cstheme="minorHAnsi"/>
                <w:color w:val="000000"/>
                <w:sz w:val="18"/>
                <w:szCs w:val="18"/>
              </w:rPr>
              <w:t>1</w:t>
            </w:r>
          </w:p>
        </w:tc>
      </w:tr>
      <w:tr w:rsidR="00063666" w:rsidRPr="00201BF8" w:rsidTr="005E5CB1">
        <w:trPr>
          <w:cnfStyle w:val="000000100000" w:firstRow="0" w:lastRow="0" w:firstColumn="0" w:lastColumn="0" w:oddVBand="0" w:evenVBand="0" w:oddHBand="1" w:evenHBand="0" w:firstRowFirstColumn="0" w:firstRowLastColumn="0" w:lastRowFirstColumn="0" w:lastRowLastColumn="0"/>
        </w:trPr>
        <w:tc>
          <w:tcPr>
            <w:tcW w:w="2337" w:type="dxa"/>
          </w:tcPr>
          <w:p w:rsidR="00063666" w:rsidRPr="00396C98" w:rsidRDefault="00063666" w:rsidP="00563642">
            <w:pPr>
              <w:spacing w:after="0"/>
              <w:rPr>
                <w:rFonts w:asciiTheme="minorHAnsi" w:hAnsiTheme="minorHAnsi" w:cstheme="minorHAnsi"/>
                <w:color w:val="000000"/>
                <w:sz w:val="18"/>
                <w:szCs w:val="18"/>
              </w:rPr>
            </w:pPr>
            <w:r w:rsidRPr="00396C98">
              <w:rPr>
                <w:rFonts w:asciiTheme="minorHAnsi" w:hAnsiTheme="minorHAnsi" w:cstheme="minorHAnsi"/>
                <w:color w:val="000000"/>
                <w:sz w:val="18"/>
                <w:szCs w:val="18"/>
              </w:rPr>
              <w:t>COPD</w:t>
            </w:r>
          </w:p>
        </w:tc>
        <w:tc>
          <w:tcPr>
            <w:tcW w:w="1816" w:type="dxa"/>
          </w:tcPr>
          <w:p w:rsidR="00063666" w:rsidRPr="00396C98" w:rsidRDefault="00516500" w:rsidP="00396C98">
            <w:pPr>
              <w:spacing w:after="0"/>
              <w:jc w:val="center"/>
              <w:rPr>
                <w:rFonts w:asciiTheme="minorHAnsi" w:hAnsiTheme="minorHAnsi" w:cstheme="minorHAnsi"/>
                <w:color w:val="000000"/>
                <w:sz w:val="18"/>
                <w:szCs w:val="18"/>
              </w:rPr>
            </w:pPr>
            <w:r>
              <w:rPr>
                <w:rFonts w:asciiTheme="minorHAnsi" w:hAnsiTheme="minorHAnsi" w:cstheme="minorHAnsi"/>
                <w:color w:val="000000"/>
                <w:sz w:val="18"/>
                <w:szCs w:val="18"/>
              </w:rPr>
              <w:t>48.</w:t>
            </w:r>
            <w:r w:rsidR="00063666" w:rsidRPr="00396C98">
              <w:rPr>
                <w:rFonts w:asciiTheme="minorHAnsi" w:hAnsiTheme="minorHAnsi" w:cstheme="minorHAnsi"/>
                <w:color w:val="000000"/>
                <w:sz w:val="18"/>
                <w:szCs w:val="18"/>
              </w:rPr>
              <w:t>7</w:t>
            </w:r>
          </w:p>
        </w:tc>
        <w:tc>
          <w:tcPr>
            <w:tcW w:w="1817" w:type="dxa"/>
          </w:tcPr>
          <w:p w:rsidR="00063666" w:rsidRPr="00396C98" w:rsidRDefault="00516500" w:rsidP="00396C98">
            <w:pPr>
              <w:spacing w:after="0"/>
              <w:jc w:val="center"/>
              <w:rPr>
                <w:rFonts w:asciiTheme="minorHAnsi" w:hAnsiTheme="minorHAnsi" w:cstheme="minorHAnsi"/>
                <w:color w:val="000000"/>
                <w:sz w:val="18"/>
                <w:szCs w:val="18"/>
              </w:rPr>
            </w:pPr>
            <w:r>
              <w:rPr>
                <w:rFonts w:asciiTheme="minorHAnsi" w:hAnsiTheme="minorHAnsi" w:cstheme="minorHAnsi"/>
                <w:color w:val="000000"/>
                <w:sz w:val="18"/>
                <w:szCs w:val="18"/>
              </w:rPr>
              <w:t>55.</w:t>
            </w:r>
            <w:r w:rsidR="00063666" w:rsidRPr="00396C98">
              <w:rPr>
                <w:rFonts w:asciiTheme="minorHAnsi" w:hAnsiTheme="minorHAnsi" w:cstheme="minorHAnsi"/>
                <w:color w:val="000000"/>
                <w:sz w:val="18"/>
                <w:szCs w:val="18"/>
              </w:rPr>
              <w:t>5</w:t>
            </w:r>
          </w:p>
        </w:tc>
        <w:tc>
          <w:tcPr>
            <w:tcW w:w="1817" w:type="dxa"/>
          </w:tcPr>
          <w:p w:rsidR="00063666" w:rsidRPr="00396C98" w:rsidRDefault="00516500" w:rsidP="00396C98">
            <w:pPr>
              <w:spacing w:after="0"/>
              <w:jc w:val="center"/>
              <w:rPr>
                <w:rFonts w:asciiTheme="minorHAnsi" w:hAnsiTheme="minorHAnsi" w:cstheme="minorHAnsi"/>
                <w:color w:val="000000"/>
                <w:sz w:val="18"/>
                <w:szCs w:val="18"/>
              </w:rPr>
            </w:pPr>
            <w:r>
              <w:rPr>
                <w:rFonts w:asciiTheme="minorHAnsi" w:hAnsiTheme="minorHAnsi" w:cstheme="minorHAnsi"/>
                <w:color w:val="000000"/>
                <w:sz w:val="18"/>
                <w:szCs w:val="18"/>
              </w:rPr>
              <w:t>61.</w:t>
            </w:r>
            <w:r w:rsidR="00063666" w:rsidRPr="00396C98">
              <w:rPr>
                <w:rFonts w:asciiTheme="minorHAnsi" w:hAnsiTheme="minorHAnsi" w:cstheme="minorHAnsi"/>
                <w:color w:val="000000"/>
                <w:sz w:val="18"/>
                <w:szCs w:val="18"/>
              </w:rPr>
              <w:t>9</w:t>
            </w:r>
          </w:p>
        </w:tc>
      </w:tr>
      <w:tr w:rsidR="00063666" w:rsidRPr="00201BF8" w:rsidTr="005E5CB1">
        <w:tc>
          <w:tcPr>
            <w:tcW w:w="2337" w:type="dxa"/>
          </w:tcPr>
          <w:p w:rsidR="00063666" w:rsidRPr="00396C98" w:rsidRDefault="00063666" w:rsidP="00563642">
            <w:pPr>
              <w:spacing w:after="0"/>
              <w:rPr>
                <w:rFonts w:asciiTheme="minorHAnsi" w:hAnsiTheme="minorHAnsi" w:cstheme="minorHAnsi"/>
                <w:color w:val="000000"/>
                <w:sz w:val="18"/>
                <w:szCs w:val="18"/>
              </w:rPr>
            </w:pPr>
            <w:r w:rsidRPr="00396C98">
              <w:rPr>
                <w:rFonts w:asciiTheme="minorHAnsi" w:hAnsiTheme="minorHAnsi" w:cstheme="minorHAnsi"/>
                <w:color w:val="000000"/>
                <w:sz w:val="18"/>
                <w:szCs w:val="18"/>
              </w:rPr>
              <w:t>Lung cancer</w:t>
            </w:r>
          </w:p>
        </w:tc>
        <w:tc>
          <w:tcPr>
            <w:tcW w:w="1816" w:type="dxa"/>
          </w:tcPr>
          <w:p w:rsidR="00063666" w:rsidRPr="00396C98" w:rsidRDefault="00516500" w:rsidP="00396C98">
            <w:pPr>
              <w:spacing w:after="0"/>
              <w:jc w:val="center"/>
              <w:rPr>
                <w:rFonts w:asciiTheme="minorHAnsi" w:hAnsiTheme="minorHAnsi" w:cstheme="minorHAnsi"/>
                <w:color w:val="000000"/>
                <w:sz w:val="18"/>
                <w:szCs w:val="18"/>
              </w:rPr>
            </w:pPr>
            <w:r>
              <w:rPr>
                <w:rFonts w:asciiTheme="minorHAnsi" w:hAnsiTheme="minorHAnsi" w:cstheme="minorHAnsi"/>
                <w:color w:val="000000"/>
                <w:sz w:val="18"/>
                <w:szCs w:val="18"/>
              </w:rPr>
              <w:t>19.</w:t>
            </w:r>
            <w:r w:rsidR="00063666" w:rsidRPr="00396C98">
              <w:rPr>
                <w:rFonts w:asciiTheme="minorHAnsi" w:hAnsiTheme="minorHAnsi" w:cstheme="minorHAnsi"/>
                <w:color w:val="000000"/>
                <w:sz w:val="18"/>
                <w:szCs w:val="18"/>
              </w:rPr>
              <w:t>1</w:t>
            </w:r>
          </w:p>
        </w:tc>
        <w:tc>
          <w:tcPr>
            <w:tcW w:w="1817" w:type="dxa"/>
          </w:tcPr>
          <w:p w:rsidR="00063666" w:rsidRPr="00396C98" w:rsidRDefault="00516500" w:rsidP="00396C98">
            <w:pPr>
              <w:spacing w:after="0"/>
              <w:jc w:val="center"/>
              <w:rPr>
                <w:rFonts w:asciiTheme="minorHAnsi" w:hAnsiTheme="minorHAnsi" w:cstheme="minorHAnsi"/>
                <w:color w:val="000000"/>
                <w:sz w:val="18"/>
                <w:szCs w:val="18"/>
              </w:rPr>
            </w:pPr>
            <w:r>
              <w:rPr>
                <w:rFonts w:asciiTheme="minorHAnsi" w:hAnsiTheme="minorHAnsi" w:cstheme="minorHAnsi"/>
                <w:color w:val="000000"/>
                <w:sz w:val="18"/>
                <w:szCs w:val="18"/>
              </w:rPr>
              <w:t>18.</w:t>
            </w:r>
            <w:r w:rsidR="00063666" w:rsidRPr="00396C98">
              <w:rPr>
                <w:rFonts w:asciiTheme="minorHAnsi" w:hAnsiTheme="minorHAnsi" w:cstheme="minorHAnsi"/>
                <w:color w:val="000000"/>
                <w:sz w:val="18"/>
                <w:szCs w:val="18"/>
              </w:rPr>
              <w:t>2</w:t>
            </w:r>
          </w:p>
        </w:tc>
        <w:tc>
          <w:tcPr>
            <w:tcW w:w="1817" w:type="dxa"/>
          </w:tcPr>
          <w:p w:rsidR="00063666" w:rsidRPr="00396C98" w:rsidRDefault="00516500" w:rsidP="00396C98">
            <w:pPr>
              <w:spacing w:after="0"/>
              <w:jc w:val="center"/>
              <w:rPr>
                <w:rFonts w:asciiTheme="minorHAnsi" w:hAnsiTheme="minorHAnsi" w:cstheme="minorHAnsi"/>
                <w:color w:val="000000"/>
                <w:sz w:val="18"/>
                <w:szCs w:val="18"/>
              </w:rPr>
            </w:pPr>
            <w:r>
              <w:rPr>
                <w:rFonts w:asciiTheme="minorHAnsi" w:hAnsiTheme="minorHAnsi" w:cstheme="minorHAnsi"/>
                <w:color w:val="000000"/>
                <w:sz w:val="18"/>
                <w:szCs w:val="18"/>
              </w:rPr>
              <w:t>21.</w:t>
            </w:r>
            <w:r w:rsidR="00063666" w:rsidRPr="00396C98">
              <w:rPr>
                <w:rFonts w:asciiTheme="minorHAnsi" w:hAnsiTheme="minorHAnsi" w:cstheme="minorHAnsi"/>
                <w:color w:val="000000"/>
                <w:sz w:val="18"/>
                <w:szCs w:val="18"/>
              </w:rPr>
              <w:t>9</w:t>
            </w:r>
          </w:p>
        </w:tc>
      </w:tr>
      <w:tr w:rsidR="00063666" w:rsidRPr="00201BF8" w:rsidTr="005E5CB1">
        <w:trPr>
          <w:cnfStyle w:val="000000100000" w:firstRow="0" w:lastRow="0" w:firstColumn="0" w:lastColumn="0" w:oddVBand="0" w:evenVBand="0" w:oddHBand="1" w:evenHBand="0" w:firstRowFirstColumn="0" w:firstRowLastColumn="0" w:lastRowFirstColumn="0" w:lastRowLastColumn="0"/>
        </w:trPr>
        <w:tc>
          <w:tcPr>
            <w:tcW w:w="2337" w:type="dxa"/>
          </w:tcPr>
          <w:p w:rsidR="00063666" w:rsidRPr="00396C98" w:rsidRDefault="00063666" w:rsidP="00563642">
            <w:pPr>
              <w:spacing w:after="0"/>
              <w:rPr>
                <w:rFonts w:asciiTheme="minorHAnsi" w:hAnsiTheme="minorHAnsi" w:cstheme="minorHAnsi"/>
                <w:color w:val="000000"/>
                <w:sz w:val="18"/>
                <w:szCs w:val="18"/>
              </w:rPr>
            </w:pPr>
            <w:r w:rsidRPr="00396C98">
              <w:rPr>
                <w:rFonts w:asciiTheme="minorHAnsi" w:hAnsiTheme="minorHAnsi" w:cstheme="minorHAnsi"/>
                <w:color w:val="000000"/>
                <w:sz w:val="18"/>
                <w:szCs w:val="18"/>
              </w:rPr>
              <w:t>Hypertensive heart disease</w:t>
            </w:r>
          </w:p>
        </w:tc>
        <w:tc>
          <w:tcPr>
            <w:tcW w:w="1816" w:type="dxa"/>
          </w:tcPr>
          <w:p w:rsidR="00063666" w:rsidRPr="00396C98" w:rsidRDefault="00516500" w:rsidP="00396C98">
            <w:pPr>
              <w:spacing w:after="0"/>
              <w:jc w:val="center"/>
              <w:rPr>
                <w:rFonts w:asciiTheme="minorHAnsi" w:hAnsiTheme="minorHAnsi" w:cstheme="minorHAnsi"/>
                <w:color w:val="000000"/>
                <w:sz w:val="18"/>
                <w:szCs w:val="18"/>
              </w:rPr>
            </w:pPr>
            <w:r>
              <w:rPr>
                <w:rFonts w:asciiTheme="minorHAnsi" w:hAnsiTheme="minorHAnsi" w:cstheme="minorHAnsi"/>
                <w:color w:val="000000"/>
                <w:sz w:val="18"/>
                <w:szCs w:val="18"/>
              </w:rPr>
              <w:t>14.</w:t>
            </w:r>
            <w:r w:rsidR="00063666" w:rsidRPr="00396C98">
              <w:rPr>
                <w:rFonts w:asciiTheme="minorHAnsi" w:hAnsiTheme="minorHAnsi" w:cstheme="minorHAnsi"/>
                <w:color w:val="000000"/>
                <w:sz w:val="18"/>
                <w:szCs w:val="18"/>
              </w:rPr>
              <w:t>6</w:t>
            </w:r>
          </w:p>
        </w:tc>
        <w:tc>
          <w:tcPr>
            <w:tcW w:w="1817" w:type="dxa"/>
          </w:tcPr>
          <w:p w:rsidR="00063666" w:rsidRPr="00396C98" w:rsidRDefault="00516500" w:rsidP="00396C98">
            <w:pPr>
              <w:spacing w:after="0"/>
              <w:jc w:val="center"/>
              <w:rPr>
                <w:rFonts w:asciiTheme="minorHAnsi" w:hAnsiTheme="minorHAnsi" w:cstheme="minorHAnsi"/>
                <w:color w:val="000000"/>
                <w:sz w:val="18"/>
                <w:szCs w:val="18"/>
              </w:rPr>
            </w:pPr>
            <w:r>
              <w:rPr>
                <w:rFonts w:asciiTheme="minorHAnsi" w:hAnsiTheme="minorHAnsi" w:cstheme="minorHAnsi"/>
                <w:color w:val="000000"/>
                <w:sz w:val="18"/>
                <w:szCs w:val="18"/>
              </w:rPr>
              <w:t>11.</w:t>
            </w:r>
            <w:r w:rsidR="00063666" w:rsidRPr="00396C98">
              <w:rPr>
                <w:rFonts w:asciiTheme="minorHAnsi" w:hAnsiTheme="minorHAnsi" w:cstheme="minorHAnsi"/>
                <w:color w:val="000000"/>
                <w:sz w:val="18"/>
                <w:szCs w:val="18"/>
              </w:rPr>
              <w:t>8</w:t>
            </w:r>
          </w:p>
        </w:tc>
        <w:tc>
          <w:tcPr>
            <w:tcW w:w="1817" w:type="dxa"/>
          </w:tcPr>
          <w:p w:rsidR="00063666" w:rsidRPr="00396C98" w:rsidRDefault="00516500" w:rsidP="00396C98">
            <w:pPr>
              <w:spacing w:after="0"/>
              <w:jc w:val="center"/>
              <w:rPr>
                <w:rFonts w:asciiTheme="minorHAnsi" w:hAnsiTheme="minorHAnsi" w:cstheme="minorHAnsi"/>
                <w:color w:val="000000"/>
                <w:sz w:val="18"/>
                <w:szCs w:val="18"/>
              </w:rPr>
            </w:pPr>
            <w:r>
              <w:rPr>
                <w:rFonts w:asciiTheme="minorHAnsi" w:hAnsiTheme="minorHAnsi" w:cstheme="minorHAnsi"/>
                <w:color w:val="000000"/>
                <w:sz w:val="18"/>
                <w:szCs w:val="18"/>
              </w:rPr>
              <w:t>18.</w:t>
            </w:r>
            <w:r w:rsidR="00063666" w:rsidRPr="00396C98">
              <w:rPr>
                <w:rFonts w:asciiTheme="minorHAnsi" w:hAnsiTheme="minorHAnsi" w:cstheme="minorHAnsi"/>
                <w:color w:val="000000"/>
                <w:sz w:val="18"/>
                <w:szCs w:val="18"/>
              </w:rPr>
              <w:t>9</w:t>
            </w:r>
          </w:p>
        </w:tc>
      </w:tr>
      <w:tr w:rsidR="00063666" w:rsidRPr="00201BF8" w:rsidTr="005E5CB1">
        <w:tc>
          <w:tcPr>
            <w:tcW w:w="2337" w:type="dxa"/>
          </w:tcPr>
          <w:p w:rsidR="00063666" w:rsidRPr="00396C98" w:rsidRDefault="00063666" w:rsidP="00563642">
            <w:pPr>
              <w:spacing w:after="0"/>
              <w:rPr>
                <w:rFonts w:asciiTheme="minorHAnsi" w:hAnsiTheme="minorHAnsi" w:cstheme="minorHAnsi"/>
                <w:color w:val="000000"/>
                <w:sz w:val="18"/>
                <w:szCs w:val="18"/>
              </w:rPr>
            </w:pPr>
            <w:r w:rsidRPr="00396C98">
              <w:rPr>
                <w:rFonts w:asciiTheme="minorHAnsi" w:hAnsiTheme="minorHAnsi" w:cstheme="minorHAnsi"/>
                <w:color w:val="000000"/>
                <w:sz w:val="18"/>
                <w:szCs w:val="18"/>
              </w:rPr>
              <w:t>Alzheimer's disease</w:t>
            </w:r>
          </w:p>
        </w:tc>
        <w:tc>
          <w:tcPr>
            <w:tcW w:w="1816" w:type="dxa"/>
          </w:tcPr>
          <w:p w:rsidR="00063666" w:rsidRPr="00396C98" w:rsidRDefault="00516500" w:rsidP="00396C98">
            <w:pPr>
              <w:spacing w:after="0"/>
              <w:jc w:val="center"/>
              <w:rPr>
                <w:rFonts w:asciiTheme="minorHAnsi" w:hAnsiTheme="minorHAnsi" w:cstheme="minorHAnsi"/>
                <w:color w:val="000000"/>
                <w:sz w:val="18"/>
                <w:szCs w:val="18"/>
              </w:rPr>
            </w:pPr>
            <w:r>
              <w:rPr>
                <w:rFonts w:asciiTheme="minorHAnsi" w:hAnsiTheme="minorHAnsi" w:cstheme="minorHAnsi"/>
                <w:color w:val="000000"/>
                <w:sz w:val="18"/>
                <w:szCs w:val="18"/>
              </w:rPr>
              <w:t>17.</w:t>
            </w:r>
            <w:r w:rsidR="00063666" w:rsidRPr="00396C98">
              <w:rPr>
                <w:rFonts w:asciiTheme="minorHAnsi" w:hAnsiTheme="minorHAnsi" w:cstheme="minorHAnsi"/>
                <w:color w:val="000000"/>
                <w:sz w:val="18"/>
                <w:szCs w:val="18"/>
              </w:rPr>
              <w:t>9</w:t>
            </w:r>
          </w:p>
        </w:tc>
        <w:tc>
          <w:tcPr>
            <w:tcW w:w="1817" w:type="dxa"/>
          </w:tcPr>
          <w:p w:rsidR="00063666" w:rsidRPr="00396C98" w:rsidRDefault="00516500" w:rsidP="00396C98">
            <w:pPr>
              <w:spacing w:after="0"/>
              <w:jc w:val="center"/>
              <w:rPr>
                <w:rFonts w:asciiTheme="minorHAnsi" w:hAnsiTheme="minorHAnsi" w:cstheme="minorHAnsi"/>
                <w:color w:val="000000"/>
                <w:sz w:val="18"/>
                <w:szCs w:val="18"/>
              </w:rPr>
            </w:pPr>
            <w:r>
              <w:rPr>
                <w:rFonts w:asciiTheme="minorHAnsi" w:hAnsiTheme="minorHAnsi" w:cstheme="minorHAnsi"/>
                <w:color w:val="000000"/>
                <w:sz w:val="18"/>
                <w:szCs w:val="18"/>
              </w:rPr>
              <w:t>19.</w:t>
            </w:r>
            <w:r w:rsidR="00063666" w:rsidRPr="00396C98">
              <w:rPr>
                <w:rFonts w:asciiTheme="minorHAnsi" w:hAnsiTheme="minorHAnsi" w:cstheme="minorHAnsi"/>
                <w:color w:val="000000"/>
                <w:sz w:val="18"/>
                <w:szCs w:val="18"/>
              </w:rPr>
              <w:t>0</w:t>
            </w:r>
          </w:p>
        </w:tc>
        <w:tc>
          <w:tcPr>
            <w:tcW w:w="1817" w:type="dxa"/>
          </w:tcPr>
          <w:p w:rsidR="00063666" w:rsidRPr="00396C98" w:rsidRDefault="00063666" w:rsidP="00516500">
            <w:pPr>
              <w:spacing w:after="0"/>
              <w:jc w:val="center"/>
              <w:rPr>
                <w:rFonts w:asciiTheme="minorHAnsi" w:hAnsiTheme="minorHAnsi" w:cstheme="minorHAnsi"/>
                <w:color w:val="000000"/>
                <w:sz w:val="18"/>
                <w:szCs w:val="18"/>
              </w:rPr>
            </w:pPr>
            <w:r w:rsidRPr="00396C98">
              <w:rPr>
                <w:rFonts w:asciiTheme="minorHAnsi" w:hAnsiTheme="minorHAnsi" w:cstheme="minorHAnsi"/>
                <w:color w:val="000000"/>
                <w:sz w:val="18"/>
                <w:szCs w:val="18"/>
              </w:rPr>
              <w:t>18</w:t>
            </w:r>
            <w:r w:rsidR="00516500">
              <w:rPr>
                <w:rFonts w:asciiTheme="minorHAnsi" w:hAnsiTheme="minorHAnsi" w:cstheme="minorHAnsi"/>
                <w:color w:val="000000"/>
                <w:sz w:val="18"/>
                <w:szCs w:val="18"/>
              </w:rPr>
              <w:t>.</w:t>
            </w:r>
            <w:r w:rsidRPr="00396C98">
              <w:rPr>
                <w:rFonts w:asciiTheme="minorHAnsi" w:hAnsiTheme="minorHAnsi" w:cstheme="minorHAnsi"/>
                <w:color w:val="000000"/>
                <w:sz w:val="18"/>
                <w:szCs w:val="18"/>
              </w:rPr>
              <w:t>3</w:t>
            </w:r>
          </w:p>
        </w:tc>
      </w:tr>
      <w:tr w:rsidR="00063666" w:rsidRPr="00201BF8" w:rsidTr="005E5CB1">
        <w:trPr>
          <w:cnfStyle w:val="000000100000" w:firstRow="0" w:lastRow="0" w:firstColumn="0" w:lastColumn="0" w:oddVBand="0" w:evenVBand="0" w:oddHBand="1" w:evenHBand="0" w:firstRowFirstColumn="0" w:firstRowLastColumn="0" w:lastRowFirstColumn="0" w:lastRowLastColumn="0"/>
        </w:trPr>
        <w:tc>
          <w:tcPr>
            <w:tcW w:w="2337" w:type="dxa"/>
          </w:tcPr>
          <w:p w:rsidR="00063666" w:rsidRPr="00396C98" w:rsidRDefault="00063666" w:rsidP="00563642">
            <w:pPr>
              <w:spacing w:after="0"/>
              <w:rPr>
                <w:rFonts w:asciiTheme="minorHAnsi" w:hAnsiTheme="minorHAnsi" w:cstheme="minorHAnsi"/>
                <w:color w:val="000000"/>
                <w:sz w:val="18"/>
                <w:szCs w:val="18"/>
              </w:rPr>
            </w:pPr>
            <w:r w:rsidRPr="00396C98">
              <w:rPr>
                <w:rFonts w:asciiTheme="minorHAnsi" w:hAnsiTheme="minorHAnsi" w:cstheme="minorHAnsi"/>
                <w:color w:val="000000"/>
                <w:sz w:val="18"/>
                <w:szCs w:val="18"/>
              </w:rPr>
              <w:t>Lower respiratory infections</w:t>
            </w:r>
          </w:p>
        </w:tc>
        <w:tc>
          <w:tcPr>
            <w:tcW w:w="1816" w:type="dxa"/>
          </w:tcPr>
          <w:p w:rsidR="00063666" w:rsidRPr="00396C98" w:rsidRDefault="00516500" w:rsidP="00396C98">
            <w:pPr>
              <w:spacing w:after="0"/>
              <w:jc w:val="center"/>
              <w:rPr>
                <w:rFonts w:asciiTheme="minorHAnsi" w:hAnsiTheme="minorHAnsi" w:cstheme="minorHAnsi"/>
                <w:color w:val="000000"/>
                <w:sz w:val="18"/>
                <w:szCs w:val="18"/>
              </w:rPr>
            </w:pPr>
            <w:r>
              <w:rPr>
                <w:rFonts w:asciiTheme="minorHAnsi" w:hAnsiTheme="minorHAnsi" w:cstheme="minorHAnsi"/>
                <w:color w:val="000000"/>
                <w:sz w:val="18"/>
                <w:szCs w:val="18"/>
              </w:rPr>
              <w:t>9.</w:t>
            </w:r>
            <w:r w:rsidR="00063666" w:rsidRPr="00396C98">
              <w:rPr>
                <w:rFonts w:asciiTheme="minorHAnsi" w:hAnsiTheme="minorHAnsi" w:cstheme="minorHAnsi"/>
                <w:color w:val="000000"/>
                <w:sz w:val="18"/>
                <w:szCs w:val="18"/>
              </w:rPr>
              <w:t>0</w:t>
            </w:r>
          </w:p>
        </w:tc>
        <w:tc>
          <w:tcPr>
            <w:tcW w:w="1817" w:type="dxa"/>
          </w:tcPr>
          <w:p w:rsidR="00063666" w:rsidRPr="00396C98" w:rsidRDefault="00516500" w:rsidP="00396C98">
            <w:pPr>
              <w:spacing w:after="0"/>
              <w:jc w:val="center"/>
              <w:rPr>
                <w:rFonts w:asciiTheme="minorHAnsi" w:hAnsiTheme="minorHAnsi" w:cstheme="minorHAnsi"/>
                <w:color w:val="000000"/>
                <w:sz w:val="18"/>
                <w:szCs w:val="18"/>
              </w:rPr>
            </w:pPr>
            <w:r>
              <w:rPr>
                <w:rFonts w:asciiTheme="minorHAnsi" w:hAnsiTheme="minorHAnsi" w:cstheme="minorHAnsi"/>
                <w:color w:val="000000"/>
                <w:sz w:val="18"/>
                <w:szCs w:val="18"/>
              </w:rPr>
              <w:t>18.</w:t>
            </w:r>
            <w:r w:rsidR="00063666" w:rsidRPr="00396C98">
              <w:rPr>
                <w:rFonts w:asciiTheme="minorHAnsi" w:hAnsiTheme="minorHAnsi" w:cstheme="minorHAnsi"/>
                <w:color w:val="000000"/>
                <w:sz w:val="18"/>
                <w:szCs w:val="18"/>
              </w:rPr>
              <w:t>0</w:t>
            </w:r>
          </w:p>
        </w:tc>
        <w:tc>
          <w:tcPr>
            <w:tcW w:w="1817" w:type="dxa"/>
          </w:tcPr>
          <w:p w:rsidR="00063666" w:rsidRPr="00396C98" w:rsidRDefault="00516500" w:rsidP="00396C98">
            <w:pPr>
              <w:spacing w:after="0"/>
              <w:jc w:val="center"/>
              <w:rPr>
                <w:rFonts w:asciiTheme="minorHAnsi" w:hAnsiTheme="minorHAnsi" w:cstheme="minorHAnsi"/>
                <w:color w:val="000000"/>
                <w:sz w:val="18"/>
                <w:szCs w:val="18"/>
              </w:rPr>
            </w:pPr>
            <w:r>
              <w:rPr>
                <w:rFonts w:asciiTheme="minorHAnsi" w:hAnsiTheme="minorHAnsi" w:cstheme="minorHAnsi"/>
                <w:color w:val="000000"/>
                <w:sz w:val="18"/>
                <w:szCs w:val="18"/>
              </w:rPr>
              <w:t>16.</w:t>
            </w:r>
            <w:r w:rsidR="00063666" w:rsidRPr="00396C98">
              <w:rPr>
                <w:rFonts w:asciiTheme="minorHAnsi" w:hAnsiTheme="minorHAnsi" w:cstheme="minorHAnsi"/>
                <w:color w:val="000000"/>
                <w:sz w:val="18"/>
                <w:szCs w:val="18"/>
              </w:rPr>
              <w:t>4</w:t>
            </w:r>
          </w:p>
        </w:tc>
      </w:tr>
      <w:tr w:rsidR="00063666" w:rsidRPr="00201BF8" w:rsidTr="005E5CB1">
        <w:tc>
          <w:tcPr>
            <w:tcW w:w="2337" w:type="dxa"/>
          </w:tcPr>
          <w:p w:rsidR="00063666" w:rsidRPr="00396C98" w:rsidRDefault="00063666" w:rsidP="00563642">
            <w:pPr>
              <w:spacing w:after="0"/>
              <w:rPr>
                <w:rFonts w:asciiTheme="minorHAnsi" w:hAnsiTheme="minorHAnsi" w:cstheme="minorHAnsi"/>
                <w:color w:val="000000"/>
                <w:sz w:val="18"/>
                <w:szCs w:val="18"/>
              </w:rPr>
            </w:pPr>
            <w:r w:rsidRPr="00396C98">
              <w:rPr>
                <w:rFonts w:asciiTheme="minorHAnsi" w:hAnsiTheme="minorHAnsi" w:cstheme="minorHAnsi"/>
                <w:color w:val="000000"/>
                <w:sz w:val="18"/>
                <w:szCs w:val="18"/>
              </w:rPr>
              <w:t>Stomach cancer</w:t>
            </w:r>
          </w:p>
        </w:tc>
        <w:tc>
          <w:tcPr>
            <w:tcW w:w="1816" w:type="dxa"/>
          </w:tcPr>
          <w:p w:rsidR="00063666" w:rsidRPr="00396C98" w:rsidRDefault="00063666" w:rsidP="00516500">
            <w:pPr>
              <w:spacing w:after="0"/>
              <w:jc w:val="center"/>
              <w:rPr>
                <w:rFonts w:asciiTheme="minorHAnsi" w:hAnsiTheme="minorHAnsi" w:cstheme="minorHAnsi"/>
                <w:color w:val="000000"/>
                <w:sz w:val="18"/>
                <w:szCs w:val="18"/>
              </w:rPr>
            </w:pPr>
            <w:r w:rsidRPr="00396C98">
              <w:rPr>
                <w:rFonts w:asciiTheme="minorHAnsi" w:hAnsiTheme="minorHAnsi" w:cstheme="minorHAnsi"/>
                <w:color w:val="000000"/>
                <w:sz w:val="18"/>
                <w:szCs w:val="18"/>
              </w:rPr>
              <w:t>18</w:t>
            </w:r>
            <w:r w:rsidR="00516500">
              <w:rPr>
                <w:rFonts w:asciiTheme="minorHAnsi" w:hAnsiTheme="minorHAnsi" w:cstheme="minorHAnsi"/>
                <w:color w:val="000000"/>
                <w:sz w:val="18"/>
                <w:szCs w:val="18"/>
              </w:rPr>
              <w:t>.</w:t>
            </w:r>
            <w:r w:rsidRPr="00396C98">
              <w:rPr>
                <w:rFonts w:asciiTheme="minorHAnsi" w:hAnsiTheme="minorHAnsi" w:cstheme="minorHAnsi"/>
                <w:color w:val="000000"/>
                <w:sz w:val="18"/>
                <w:szCs w:val="18"/>
              </w:rPr>
              <w:t>6</w:t>
            </w:r>
          </w:p>
        </w:tc>
        <w:tc>
          <w:tcPr>
            <w:tcW w:w="1817" w:type="dxa"/>
          </w:tcPr>
          <w:p w:rsidR="00063666" w:rsidRPr="00396C98" w:rsidRDefault="00063666" w:rsidP="00396C98">
            <w:pPr>
              <w:spacing w:after="0"/>
              <w:jc w:val="center"/>
              <w:rPr>
                <w:rFonts w:asciiTheme="minorHAnsi" w:hAnsiTheme="minorHAnsi" w:cstheme="minorHAnsi"/>
                <w:color w:val="000000"/>
                <w:sz w:val="18"/>
                <w:szCs w:val="18"/>
              </w:rPr>
            </w:pPr>
            <w:r w:rsidRPr="00396C98">
              <w:rPr>
                <w:rFonts w:asciiTheme="minorHAnsi" w:hAnsiTheme="minorHAnsi" w:cstheme="minorHAnsi"/>
                <w:color w:val="000000"/>
                <w:sz w:val="18"/>
                <w:szCs w:val="18"/>
              </w:rPr>
              <w:t>9</w:t>
            </w:r>
            <w:r w:rsidR="00516500">
              <w:rPr>
                <w:rFonts w:asciiTheme="minorHAnsi" w:hAnsiTheme="minorHAnsi" w:cstheme="minorHAnsi"/>
                <w:color w:val="000000"/>
                <w:sz w:val="18"/>
                <w:szCs w:val="18"/>
              </w:rPr>
              <w:t>.</w:t>
            </w:r>
            <w:r w:rsidRPr="00396C98">
              <w:rPr>
                <w:rFonts w:asciiTheme="minorHAnsi" w:hAnsiTheme="minorHAnsi" w:cstheme="minorHAnsi"/>
                <w:color w:val="000000"/>
                <w:sz w:val="18"/>
                <w:szCs w:val="18"/>
              </w:rPr>
              <w:t>9</w:t>
            </w:r>
          </w:p>
        </w:tc>
        <w:tc>
          <w:tcPr>
            <w:tcW w:w="1817" w:type="dxa"/>
          </w:tcPr>
          <w:p w:rsidR="00063666" w:rsidRPr="00396C98" w:rsidRDefault="00516500" w:rsidP="00396C98">
            <w:pPr>
              <w:spacing w:after="0"/>
              <w:jc w:val="center"/>
              <w:rPr>
                <w:rFonts w:asciiTheme="minorHAnsi" w:hAnsiTheme="minorHAnsi" w:cstheme="minorHAnsi"/>
                <w:color w:val="000000"/>
                <w:sz w:val="18"/>
                <w:szCs w:val="18"/>
              </w:rPr>
            </w:pPr>
            <w:r>
              <w:rPr>
                <w:rFonts w:asciiTheme="minorHAnsi" w:hAnsiTheme="minorHAnsi" w:cstheme="minorHAnsi"/>
                <w:color w:val="000000"/>
                <w:sz w:val="18"/>
                <w:szCs w:val="18"/>
              </w:rPr>
              <w:t>13.</w:t>
            </w:r>
            <w:r w:rsidR="00063666" w:rsidRPr="00396C98">
              <w:rPr>
                <w:rFonts w:asciiTheme="minorHAnsi" w:hAnsiTheme="minorHAnsi" w:cstheme="minorHAnsi"/>
                <w:color w:val="000000"/>
                <w:sz w:val="18"/>
                <w:szCs w:val="18"/>
              </w:rPr>
              <w:t>3</w:t>
            </w:r>
          </w:p>
        </w:tc>
      </w:tr>
      <w:tr w:rsidR="00063666" w:rsidRPr="00201BF8" w:rsidTr="005E5CB1">
        <w:trPr>
          <w:cnfStyle w:val="000000100000" w:firstRow="0" w:lastRow="0" w:firstColumn="0" w:lastColumn="0" w:oddVBand="0" w:evenVBand="0" w:oddHBand="1" w:evenHBand="0" w:firstRowFirstColumn="0" w:firstRowLastColumn="0" w:lastRowFirstColumn="0" w:lastRowLastColumn="0"/>
        </w:trPr>
        <w:tc>
          <w:tcPr>
            <w:tcW w:w="2337" w:type="dxa"/>
          </w:tcPr>
          <w:p w:rsidR="00063666" w:rsidRPr="00396C98" w:rsidRDefault="00063666" w:rsidP="00563642">
            <w:pPr>
              <w:spacing w:after="0"/>
              <w:rPr>
                <w:rFonts w:asciiTheme="minorHAnsi" w:hAnsiTheme="minorHAnsi" w:cstheme="minorHAnsi"/>
                <w:color w:val="000000"/>
                <w:sz w:val="18"/>
                <w:szCs w:val="18"/>
              </w:rPr>
            </w:pPr>
            <w:r w:rsidRPr="00396C98">
              <w:rPr>
                <w:rFonts w:asciiTheme="minorHAnsi" w:hAnsiTheme="minorHAnsi" w:cstheme="minorHAnsi"/>
                <w:color w:val="000000"/>
                <w:sz w:val="18"/>
                <w:szCs w:val="18"/>
              </w:rPr>
              <w:t>Liver cancer</w:t>
            </w:r>
          </w:p>
        </w:tc>
        <w:tc>
          <w:tcPr>
            <w:tcW w:w="1816" w:type="dxa"/>
          </w:tcPr>
          <w:p w:rsidR="00063666" w:rsidRPr="00396C98" w:rsidRDefault="00516500" w:rsidP="00396C98">
            <w:pPr>
              <w:spacing w:after="0"/>
              <w:jc w:val="center"/>
              <w:rPr>
                <w:rFonts w:asciiTheme="minorHAnsi" w:hAnsiTheme="minorHAnsi" w:cstheme="minorHAnsi"/>
                <w:color w:val="000000"/>
                <w:sz w:val="18"/>
                <w:szCs w:val="18"/>
              </w:rPr>
            </w:pPr>
            <w:r>
              <w:rPr>
                <w:rFonts w:asciiTheme="minorHAnsi" w:hAnsiTheme="minorHAnsi" w:cstheme="minorHAnsi"/>
                <w:color w:val="000000"/>
                <w:sz w:val="18"/>
                <w:szCs w:val="18"/>
              </w:rPr>
              <w:t>13.</w:t>
            </w:r>
            <w:r w:rsidR="00063666" w:rsidRPr="00396C98">
              <w:rPr>
                <w:rFonts w:asciiTheme="minorHAnsi" w:hAnsiTheme="minorHAnsi" w:cstheme="minorHAnsi"/>
                <w:color w:val="000000"/>
                <w:sz w:val="18"/>
                <w:szCs w:val="18"/>
              </w:rPr>
              <w:t>3</w:t>
            </w:r>
          </w:p>
        </w:tc>
        <w:tc>
          <w:tcPr>
            <w:tcW w:w="1817" w:type="dxa"/>
          </w:tcPr>
          <w:p w:rsidR="00063666" w:rsidRPr="00396C98" w:rsidRDefault="00063666" w:rsidP="00516500">
            <w:pPr>
              <w:spacing w:after="0"/>
              <w:jc w:val="center"/>
              <w:rPr>
                <w:rFonts w:asciiTheme="minorHAnsi" w:hAnsiTheme="minorHAnsi" w:cstheme="minorHAnsi"/>
                <w:color w:val="000000"/>
                <w:sz w:val="18"/>
                <w:szCs w:val="18"/>
              </w:rPr>
            </w:pPr>
            <w:r w:rsidRPr="00396C98">
              <w:rPr>
                <w:rFonts w:asciiTheme="minorHAnsi" w:hAnsiTheme="minorHAnsi" w:cstheme="minorHAnsi"/>
                <w:color w:val="000000"/>
                <w:sz w:val="18"/>
                <w:szCs w:val="18"/>
              </w:rPr>
              <w:t>11</w:t>
            </w:r>
            <w:r w:rsidR="00516500">
              <w:rPr>
                <w:rFonts w:asciiTheme="minorHAnsi" w:hAnsiTheme="minorHAnsi" w:cstheme="minorHAnsi"/>
                <w:color w:val="000000"/>
                <w:sz w:val="18"/>
                <w:szCs w:val="18"/>
              </w:rPr>
              <w:t>.</w:t>
            </w:r>
            <w:r w:rsidRPr="00396C98">
              <w:rPr>
                <w:rFonts w:asciiTheme="minorHAnsi" w:hAnsiTheme="minorHAnsi" w:cstheme="minorHAnsi"/>
                <w:color w:val="000000"/>
                <w:sz w:val="18"/>
                <w:szCs w:val="18"/>
              </w:rPr>
              <w:t>4</w:t>
            </w:r>
          </w:p>
        </w:tc>
        <w:tc>
          <w:tcPr>
            <w:tcW w:w="1817" w:type="dxa"/>
          </w:tcPr>
          <w:p w:rsidR="00063666" w:rsidRPr="00396C98" w:rsidRDefault="00063666" w:rsidP="00396C98">
            <w:pPr>
              <w:spacing w:after="0"/>
              <w:jc w:val="center"/>
              <w:rPr>
                <w:rFonts w:asciiTheme="minorHAnsi" w:hAnsiTheme="minorHAnsi" w:cstheme="minorHAnsi"/>
                <w:color w:val="000000"/>
                <w:sz w:val="18"/>
                <w:szCs w:val="18"/>
              </w:rPr>
            </w:pPr>
            <w:r w:rsidRPr="00396C98">
              <w:rPr>
                <w:rFonts w:asciiTheme="minorHAnsi" w:hAnsiTheme="minorHAnsi" w:cstheme="minorHAnsi"/>
                <w:color w:val="000000"/>
                <w:sz w:val="18"/>
                <w:szCs w:val="18"/>
              </w:rPr>
              <w:t>1</w:t>
            </w:r>
            <w:r w:rsidR="00516500">
              <w:rPr>
                <w:rFonts w:asciiTheme="minorHAnsi" w:hAnsiTheme="minorHAnsi" w:cstheme="minorHAnsi"/>
                <w:color w:val="000000"/>
                <w:sz w:val="18"/>
                <w:szCs w:val="18"/>
              </w:rPr>
              <w:t>2.</w:t>
            </w:r>
            <w:r w:rsidRPr="00396C98">
              <w:rPr>
                <w:rFonts w:asciiTheme="minorHAnsi" w:hAnsiTheme="minorHAnsi" w:cstheme="minorHAnsi"/>
                <w:color w:val="000000"/>
                <w:sz w:val="18"/>
                <w:szCs w:val="18"/>
              </w:rPr>
              <w:t>8</w:t>
            </w:r>
          </w:p>
        </w:tc>
      </w:tr>
      <w:tr w:rsidR="00063666" w:rsidRPr="00201BF8" w:rsidTr="005E5CB1">
        <w:tc>
          <w:tcPr>
            <w:tcW w:w="2337" w:type="dxa"/>
          </w:tcPr>
          <w:p w:rsidR="00063666" w:rsidRPr="00396C98" w:rsidRDefault="00063666" w:rsidP="00563642">
            <w:pPr>
              <w:spacing w:after="0"/>
              <w:rPr>
                <w:rFonts w:asciiTheme="minorHAnsi" w:hAnsiTheme="minorHAnsi" w:cstheme="minorHAnsi"/>
                <w:color w:val="000000"/>
                <w:sz w:val="18"/>
                <w:szCs w:val="18"/>
              </w:rPr>
            </w:pPr>
            <w:r w:rsidRPr="00396C98">
              <w:rPr>
                <w:rFonts w:asciiTheme="minorHAnsi" w:hAnsiTheme="minorHAnsi" w:cstheme="minorHAnsi"/>
                <w:color w:val="000000"/>
                <w:sz w:val="18"/>
                <w:szCs w:val="18"/>
              </w:rPr>
              <w:t>Road injuries</w:t>
            </w:r>
          </w:p>
        </w:tc>
        <w:tc>
          <w:tcPr>
            <w:tcW w:w="1816" w:type="dxa"/>
          </w:tcPr>
          <w:p w:rsidR="00063666" w:rsidRPr="00396C98" w:rsidRDefault="00516500" w:rsidP="00396C98">
            <w:pPr>
              <w:spacing w:after="0"/>
              <w:jc w:val="center"/>
              <w:rPr>
                <w:rFonts w:asciiTheme="minorHAnsi" w:hAnsiTheme="minorHAnsi" w:cstheme="minorHAnsi"/>
                <w:color w:val="000000"/>
                <w:sz w:val="18"/>
                <w:szCs w:val="18"/>
              </w:rPr>
            </w:pPr>
            <w:r>
              <w:rPr>
                <w:rFonts w:asciiTheme="minorHAnsi" w:hAnsiTheme="minorHAnsi" w:cstheme="minorHAnsi"/>
                <w:color w:val="000000"/>
                <w:sz w:val="18"/>
                <w:szCs w:val="18"/>
              </w:rPr>
              <w:t>10.</w:t>
            </w:r>
            <w:r w:rsidR="00063666" w:rsidRPr="00396C98">
              <w:rPr>
                <w:rFonts w:asciiTheme="minorHAnsi" w:hAnsiTheme="minorHAnsi" w:cstheme="minorHAnsi"/>
                <w:color w:val="000000"/>
                <w:sz w:val="18"/>
                <w:szCs w:val="18"/>
              </w:rPr>
              <w:t>7</w:t>
            </w:r>
          </w:p>
        </w:tc>
        <w:tc>
          <w:tcPr>
            <w:tcW w:w="1817" w:type="dxa"/>
          </w:tcPr>
          <w:p w:rsidR="00063666" w:rsidRPr="00396C98" w:rsidRDefault="00516500" w:rsidP="00396C98">
            <w:pPr>
              <w:spacing w:after="0"/>
              <w:jc w:val="center"/>
              <w:rPr>
                <w:rFonts w:asciiTheme="minorHAnsi" w:hAnsiTheme="minorHAnsi" w:cstheme="minorHAnsi"/>
                <w:color w:val="000000"/>
                <w:sz w:val="18"/>
                <w:szCs w:val="18"/>
              </w:rPr>
            </w:pPr>
            <w:r>
              <w:rPr>
                <w:rFonts w:asciiTheme="minorHAnsi" w:hAnsiTheme="minorHAnsi" w:cstheme="minorHAnsi"/>
                <w:color w:val="000000"/>
                <w:sz w:val="18"/>
                <w:szCs w:val="18"/>
              </w:rPr>
              <w:t>12.</w:t>
            </w:r>
            <w:r w:rsidR="00063666" w:rsidRPr="00396C98">
              <w:rPr>
                <w:rFonts w:asciiTheme="minorHAnsi" w:hAnsiTheme="minorHAnsi" w:cstheme="minorHAnsi"/>
                <w:color w:val="000000"/>
                <w:sz w:val="18"/>
                <w:szCs w:val="18"/>
              </w:rPr>
              <w:t>7</w:t>
            </w:r>
          </w:p>
        </w:tc>
        <w:tc>
          <w:tcPr>
            <w:tcW w:w="1817" w:type="dxa"/>
          </w:tcPr>
          <w:p w:rsidR="00063666" w:rsidRPr="00396C98" w:rsidRDefault="00516500" w:rsidP="00396C98">
            <w:pPr>
              <w:spacing w:after="0"/>
              <w:jc w:val="center"/>
              <w:rPr>
                <w:rFonts w:asciiTheme="minorHAnsi" w:hAnsiTheme="minorHAnsi" w:cstheme="minorHAnsi"/>
                <w:color w:val="000000"/>
                <w:sz w:val="18"/>
                <w:szCs w:val="18"/>
              </w:rPr>
            </w:pPr>
            <w:r>
              <w:rPr>
                <w:rFonts w:asciiTheme="minorHAnsi" w:hAnsiTheme="minorHAnsi" w:cstheme="minorHAnsi"/>
                <w:color w:val="000000"/>
                <w:sz w:val="18"/>
                <w:szCs w:val="18"/>
              </w:rPr>
              <w:t>10.</w:t>
            </w:r>
            <w:r w:rsidR="00063666" w:rsidRPr="00396C98">
              <w:rPr>
                <w:rFonts w:asciiTheme="minorHAnsi" w:hAnsiTheme="minorHAnsi" w:cstheme="minorHAnsi"/>
                <w:color w:val="000000"/>
                <w:sz w:val="18"/>
                <w:szCs w:val="18"/>
              </w:rPr>
              <w:t>8</w:t>
            </w:r>
          </w:p>
        </w:tc>
      </w:tr>
      <w:tr w:rsidR="00063666" w:rsidRPr="00201BF8" w:rsidTr="005E5CB1">
        <w:trPr>
          <w:cnfStyle w:val="000000100000" w:firstRow="0" w:lastRow="0" w:firstColumn="0" w:lastColumn="0" w:oddVBand="0" w:evenVBand="0" w:oddHBand="1" w:evenHBand="0" w:firstRowFirstColumn="0" w:firstRowLastColumn="0" w:lastRowFirstColumn="0" w:lastRowLastColumn="0"/>
        </w:trPr>
        <w:tc>
          <w:tcPr>
            <w:tcW w:w="2337" w:type="dxa"/>
          </w:tcPr>
          <w:p w:rsidR="00063666" w:rsidRPr="00396C98" w:rsidRDefault="00063666" w:rsidP="00563642">
            <w:pPr>
              <w:spacing w:after="0"/>
              <w:rPr>
                <w:rFonts w:asciiTheme="minorHAnsi" w:hAnsiTheme="minorHAnsi" w:cstheme="minorHAnsi"/>
                <w:color w:val="000000"/>
                <w:sz w:val="18"/>
                <w:szCs w:val="18"/>
              </w:rPr>
            </w:pPr>
            <w:r w:rsidRPr="00396C98">
              <w:rPr>
                <w:rFonts w:asciiTheme="minorHAnsi" w:hAnsiTheme="minorHAnsi" w:cstheme="minorHAnsi"/>
                <w:color w:val="000000"/>
                <w:sz w:val="18"/>
                <w:szCs w:val="18"/>
              </w:rPr>
              <w:t>Chronic kidney disease</w:t>
            </w:r>
          </w:p>
        </w:tc>
        <w:tc>
          <w:tcPr>
            <w:tcW w:w="1816" w:type="dxa"/>
          </w:tcPr>
          <w:p w:rsidR="00063666" w:rsidRPr="00396C98" w:rsidRDefault="00516500" w:rsidP="00396C98">
            <w:pPr>
              <w:spacing w:after="0"/>
              <w:jc w:val="center"/>
              <w:rPr>
                <w:rFonts w:asciiTheme="minorHAnsi" w:hAnsiTheme="minorHAnsi" w:cstheme="minorHAnsi"/>
                <w:color w:val="000000"/>
                <w:sz w:val="18"/>
                <w:szCs w:val="18"/>
              </w:rPr>
            </w:pPr>
            <w:r>
              <w:rPr>
                <w:rFonts w:asciiTheme="minorHAnsi" w:hAnsiTheme="minorHAnsi" w:cstheme="minorHAnsi"/>
                <w:color w:val="000000"/>
                <w:sz w:val="18"/>
                <w:szCs w:val="18"/>
              </w:rPr>
              <w:t>6.</w:t>
            </w:r>
            <w:r w:rsidR="00063666" w:rsidRPr="00396C98">
              <w:rPr>
                <w:rFonts w:asciiTheme="minorHAnsi" w:hAnsiTheme="minorHAnsi" w:cstheme="minorHAnsi"/>
                <w:color w:val="000000"/>
                <w:sz w:val="18"/>
                <w:szCs w:val="18"/>
              </w:rPr>
              <w:t>8</w:t>
            </w:r>
          </w:p>
        </w:tc>
        <w:tc>
          <w:tcPr>
            <w:tcW w:w="1817" w:type="dxa"/>
          </w:tcPr>
          <w:p w:rsidR="00063666" w:rsidRPr="00396C98" w:rsidRDefault="00516500" w:rsidP="00396C98">
            <w:pPr>
              <w:spacing w:after="0"/>
              <w:jc w:val="center"/>
              <w:rPr>
                <w:rFonts w:asciiTheme="minorHAnsi" w:hAnsiTheme="minorHAnsi" w:cstheme="minorHAnsi"/>
                <w:color w:val="000000"/>
                <w:sz w:val="18"/>
                <w:szCs w:val="18"/>
              </w:rPr>
            </w:pPr>
            <w:r>
              <w:rPr>
                <w:rFonts w:asciiTheme="minorHAnsi" w:hAnsiTheme="minorHAnsi" w:cstheme="minorHAnsi"/>
                <w:color w:val="000000"/>
                <w:sz w:val="18"/>
                <w:szCs w:val="18"/>
              </w:rPr>
              <w:t>7.</w:t>
            </w:r>
            <w:r w:rsidR="00063666" w:rsidRPr="00396C98">
              <w:rPr>
                <w:rFonts w:asciiTheme="minorHAnsi" w:hAnsiTheme="minorHAnsi" w:cstheme="minorHAnsi"/>
                <w:color w:val="000000"/>
                <w:sz w:val="18"/>
                <w:szCs w:val="18"/>
              </w:rPr>
              <w:t>3</w:t>
            </w:r>
          </w:p>
        </w:tc>
        <w:tc>
          <w:tcPr>
            <w:tcW w:w="1817" w:type="dxa"/>
          </w:tcPr>
          <w:p w:rsidR="00063666" w:rsidRPr="00396C98" w:rsidRDefault="00516500" w:rsidP="00396C98">
            <w:pPr>
              <w:spacing w:after="0"/>
              <w:jc w:val="center"/>
              <w:rPr>
                <w:rFonts w:asciiTheme="minorHAnsi" w:hAnsiTheme="minorHAnsi" w:cstheme="minorHAnsi"/>
                <w:color w:val="000000"/>
                <w:sz w:val="18"/>
                <w:szCs w:val="18"/>
              </w:rPr>
            </w:pPr>
            <w:r>
              <w:rPr>
                <w:rFonts w:asciiTheme="minorHAnsi" w:hAnsiTheme="minorHAnsi" w:cstheme="minorHAnsi"/>
                <w:color w:val="000000"/>
                <w:sz w:val="18"/>
                <w:szCs w:val="18"/>
              </w:rPr>
              <w:t>10.</w:t>
            </w:r>
            <w:r w:rsidR="00063666" w:rsidRPr="00396C98">
              <w:rPr>
                <w:rFonts w:asciiTheme="minorHAnsi" w:hAnsiTheme="minorHAnsi" w:cstheme="minorHAnsi"/>
                <w:color w:val="000000"/>
                <w:sz w:val="18"/>
                <w:szCs w:val="18"/>
              </w:rPr>
              <w:t>4</w:t>
            </w:r>
          </w:p>
        </w:tc>
      </w:tr>
      <w:tr w:rsidR="00063666" w:rsidRPr="00201BF8" w:rsidTr="005E5CB1">
        <w:tc>
          <w:tcPr>
            <w:tcW w:w="2337" w:type="dxa"/>
          </w:tcPr>
          <w:p w:rsidR="00063666" w:rsidRPr="00396C98" w:rsidRDefault="00063666" w:rsidP="00563642">
            <w:pPr>
              <w:spacing w:after="0"/>
              <w:rPr>
                <w:rFonts w:asciiTheme="minorHAnsi" w:hAnsiTheme="minorHAnsi" w:cstheme="minorHAnsi"/>
                <w:color w:val="000000"/>
                <w:sz w:val="18"/>
                <w:szCs w:val="18"/>
              </w:rPr>
            </w:pPr>
            <w:r w:rsidRPr="00396C98">
              <w:rPr>
                <w:rFonts w:asciiTheme="minorHAnsi" w:hAnsiTheme="minorHAnsi" w:cstheme="minorHAnsi"/>
                <w:color w:val="000000"/>
                <w:sz w:val="18"/>
                <w:szCs w:val="18"/>
              </w:rPr>
              <w:t>Diabetes</w:t>
            </w:r>
          </w:p>
        </w:tc>
        <w:tc>
          <w:tcPr>
            <w:tcW w:w="1816" w:type="dxa"/>
          </w:tcPr>
          <w:p w:rsidR="00063666" w:rsidRPr="00396C98" w:rsidRDefault="00063666" w:rsidP="00516500">
            <w:pPr>
              <w:spacing w:after="0"/>
              <w:jc w:val="center"/>
              <w:rPr>
                <w:rFonts w:asciiTheme="minorHAnsi" w:hAnsiTheme="minorHAnsi" w:cstheme="minorHAnsi"/>
                <w:color w:val="000000"/>
                <w:sz w:val="18"/>
                <w:szCs w:val="18"/>
              </w:rPr>
            </w:pPr>
            <w:r w:rsidRPr="00396C98">
              <w:rPr>
                <w:rFonts w:asciiTheme="minorHAnsi" w:hAnsiTheme="minorHAnsi" w:cstheme="minorHAnsi"/>
                <w:color w:val="000000"/>
                <w:sz w:val="18"/>
                <w:szCs w:val="18"/>
              </w:rPr>
              <w:t>10</w:t>
            </w:r>
            <w:r w:rsidR="00516500">
              <w:rPr>
                <w:rFonts w:asciiTheme="minorHAnsi" w:hAnsiTheme="minorHAnsi" w:cstheme="minorHAnsi"/>
                <w:color w:val="000000"/>
                <w:sz w:val="18"/>
                <w:szCs w:val="18"/>
              </w:rPr>
              <w:t>.</w:t>
            </w:r>
            <w:r w:rsidRPr="00396C98">
              <w:rPr>
                <w:rFonts w:asciiTheme="minorHAnsi" w:hAnsiTheme="minorHAnsi" w:cstheme="minorHAnsi"/>
                <w:color w:val="000000"/>
                <w:sz w:val="18"/>
                <w:szCs w:val="18"/>
              </w:rPr>
              <w:t>2</w:t>
            </w:r>
          </w:p>
        </w:tc>
        <w:tc>
          <w:tcPr>
            <w:tcW w:w="1817" w:type="dxa"/>
          </w:tcPr>
          <w:p w:rsidR="00063666" w:rsidRPr="00396C98" w:rsidRDefault="00063666" w:rsidP="00396C98">
            <w:pPr>
              <w:spacing w:after="0"/>
              <w:jc w:val="center"/>
              <w:rPr>
                <w:rFonts w:asciiTheme="minorHAnsi" w:hAnsiTheme="minorHAnsi" w:cstheme="minorHAnsi"/>
                <w:color w:val="000000"/>
                <w:sz w:val="18"/>
                <w:szCs w:val="18"/>
              </w:rPr>
            </w:pPr>
            <w:r w:rsidRPr="00396C98">
              <w:rPr>
                <w:rFonts w:asciiTheme="minorHAnsi" w:hAnsiTheme="minorHAnsi" w:cstheme="minorHAnsi"/>
                <w:color w:val="000000"/>
                <w:sz w:val="18"/>
                <w:szCs w:val="18"/>
              </w:rPr>
              <w:t>8</w:t>
            </w:r>
            <w:r w:rsidR="00516500">
              <w:rPr>
                <w:rFonts w:asciiTheme="minorHAnsi" w:hAnsiTheme="minorHAnsi" w:cstheme="minorHAnsi"/>
                <w:color w:val="000000"/>
                <w:sz w:val="18"/>
                <w:szCs w:val="18"/>
              </w:rPr>
              <w:t>.</w:t>
            </w:r>
            <w:r w:rsidRPr="00396C98">
              <w:rPr>
                <w:rFonts w:asciiTheme="minorHAnsi" w:hAnsiTheme="minorHAnsi" w:cstheme="minorHAnsi"/>
                <w:color w:val="000000"/>
                <w:sz w:val="18"/>
                <w:szCs w:val="18"/>
              </w:rPr>
              <w:t>0</w:t>
            </w:r>
          </w:p>
        </w:tc>
        <w:tc>
          <w:tcPr>
            <w:tcW w:w="1817" w:type="dxa"/>
          </w:tcPr>
          <w:p w:rsidR="00063666" w:rsidRPr="00396C98" w:rsidRDefault="00516500" w:rsidP="00396C98">
            <w:pPr>
              <w:spacing w:after="0"/>
              <w:jc w:val="center"/>
              <w:rPr>
                <w:rFonts w:asciiTheme="minorHAnsi" w:hAnsiTheme="minorHAnsi" w:cstheme="minorHAnsi"/>
                <w:color w:val="000000"/>
                <w:sz w:val="18"/>
                <w:szCs w:val="18"/>
              </w:rPr>
            </w:pPr>
            <w:r>
              <w:rPr>
                <w:rFonts w:asciiTheme="minorHAnsi" w:hAnsiTheme="minorHAnsi" w:cstheme="minorHAnsi"/>
                <w:color w:val="000000"/>
                <w:sz w:val="18"/>
                <w:szCs w:val="18"/>
              </w:rPr>
              <w:t>10.</w:t>
            </w:r>
            <w:r w:rsidR="00063666" w:rsidRPr="00396C98">
              <w:rPr>
                <w:rFonts w:asciiTheme="minorHAnsi" w:hAnsiTheme="minorHAnsi" w:cstheme="minorHAnsi"/>
                <w:color w:val="000000"/>
                <w:sz w:val="18"/>
                <w:szCs w:val="18"/>
              </w:rPr>
              <w:t>0</w:t>
            </w:r>
          </w:p>
        </w:tc>
      </w:tr>
      <w:tr w:rsidR="00063666" w:rsidRPr="00201BF8" w:rsidTr="005E5CB1">
        <w:trPr>
          <w:cnfStyle w:val="000000100000" w:firstRow="0" w:lastRow="0" w:firstColumn="0" w:lastColumn="0" w:oddVBand="0" w:evenVBand="0" w:oddHBand="1" w:evenHBand="0" w:firstRowFirstColumn="0" w:firstRowLastColumn="0" w:lastRowFirstColumn="0" w:lastRowLastColumn="0"/>
        </w:trPr>
        <w:tc>
          <w:tcPr>
            <w:tcW w:w="2337" w:type="dxa"/>
          </w:tcPr>
          <w:p w:rsidR="00063666" w:rsidRPr="00396C98" w:rsidRDefault="00063666" w:rsidP="00563642">
            <w:pPr>
              <w:spacing w:after="0"/>
              <w:rPr>
                <w:rFonts w:asciiTheme="minorHAnsi" w:hAnsiTheme="minorHAnsi" w:cstheme="minorHAnsi"/>
                <w:color w:val="000000"/>
                <w:sz w:val="18"/>
                <w:szCs w:val="18"/>
              </w:rPr>
            </w:pPr>
            <w:r w:rsidRPr="00396C98">
              <w:rPr>
                <w:rFonts w:asciiTheme="minorHAnsi" w:hAnsiTheme="minorHAnsi" w:cstheme="minorHAnsi"/>
                <w:color w:val="000000"/>
                <w:sz w:val="18"/>
                <w:szCs w:val="18"/>
              </w:rPr>
              <w:t>Colon &amp; rectum cancer</w:t>
            </w:r>
          </w:p>
        </w:tc>
        <w:tc>
          <w:tcPr>
            <w:tcW w:w="1816" w:type="dxa"/>
          </w:tcPr>
          <w:p w:rsidR="00063666" w:rsidRPr="00396C98" w:rsidRDefault="00516500" w:rsidP="00396C98">
            <w:pPr>
              <w:spacing w:after="0"/>
              <w:jc w:val="center"/>
              <w:rPr>
                <w:rFonts w:asciiTheme="minorHAnsi" w:hAnsiTheme="minorHAnsi" w:cstheme="minorHAnsi"/>
                <w:color w:val="000000"/>
                <w:sz w:val="18"/>
                <w:szCs w:val="18"/>
              </w:rPr>
            </w:pPr>
            <w:r>
              <w:rPr>
                <w:rFonts w:asciiTheme="minorHAnsi" w:hAnsiTheme="minorHAnsi" w:cstheme="minorHAnsi"/>
                <w:color w:val="000000"/>
                <w:sz w:val="18"/>
                <w:szCs w:val="18"/>
              </w:rPr>
              <w:t>7.</w:t>
            </w:r>
            <w:r w:rsidR="00063666" w:rsidRPr="00396C98">
              <w:rPr>
                <w:rFonts w:asciiTheme="minorHAnsi" w:hAnsiTheme="minorHAnsi" w:cstheme="minorHAnsi"/>
                <w:color w:val="000000"/>
                <w:sz w:val="18"/>
                <w:szCs w:val="18"/>
              </w:rPr>
              <w:t>9</w:t>
            </w:r>
          </w:p>
        </w:tc>
        <w:tc>
          <w:tcPr>
            <w:tcW w:w="1817" w:type="dxa"/>
          </w:tcPr>
          <w:p w:rsidR="00063666" w:rsidRPr="00396C98" w:rsidRDefault="00063666" w:rsidP="00516500">
            <w:pPr>
              <w:spacing w:after="0"/>
              <w:jc w:val="center"/>
              <w:rPr>
                <w:rFonts w:asciiTheme="minorHAnsi" w:hAnsiTheme="minorHAnsi" w:cstheme="minorHAnsi"/>
                <w:color w:val="000000"/>
                <w:sz w:val="18"/>
                <w:szCs w:val="18"/>
              </w:rPr>
            </w:pPr>
            <w:r w:rsidRPr="00396C98">
              <w:rPr>
                <w:rFonts w:asciiTheme="minorHAnsi" w:hAnsiTheme="minorHAnsi" w:cstheme="minorHAnsi"/>
                <w:color w:val="000000"/>
                <w:sz w:val="18"/>
                <w:szCs w:val="18"/>
              </w:rPr>
              <w:t>11</w:t>
            </w:r>
            <w:r w:rsidR="00516500">
              <w:rPr>
                <w:rFonts w:asciiTheme="minorHAnsi" w:hAnsiTheme="minorHAnsi" w:cstheme="minorHAnsi"/>
                <w:color w:val="000000"/>
                <w:sz w:val="18"/>
                <w:szCs w:val="18"/>
              </w:rPr>
              <w:t>.</w:t>
            </w:r>
            <w:r w:rsidRPr="00396C98">
              <w:rPr>
                <w:rFonts w:asciiTheme="minorHAnsi" w:hAnsiTheme="minorHAnsi" w:cstheme="minorHAnsi"/>
                <w:color w:val="000000"/>
                <w:sz w:val="18"/>
                <w:szCs w:val="18"/>
              </w:rPr>
              <w:t>0</w:t>
            </w:r>
          </w:p>
        </w:tc>
        <w:tc>
          <w:tcPr>
            <w:tcW w:w="1817" w:type="dxa"/>
          </w:tcPr>
          <w:p w:rsidR="00063666" w:rsidRPr="00396C98" w:rsidRDefault="00063666" w:rsidP="00396C98">
            <w:pPr>
              <w:spacing w:after="0"/>
              <w:jc w:val="center"/>
              <w:rPr>
                <w:rFonts w:asciiTheme="minorHAnsi" w:hAnsiTheme="minorHAnsi" w:cstheme="minorHAnsi"/>
                <w:color w:val="000000"/>
                <w:sz w:val="18"/>
                <w:szCs w:val="18"/>
              </w:rPr>
            </w:pPr>
            <w:r w:rsidRPr="00396C98">
              <w:rPr>
                <w:rFonts w:asciiTheme="minorHAnsi" w:hAnsiTheme="minorHAnsi" w:cstheme="minorHAnsi"/>
                <w:color w:val="000000"/>
                <w:sz w:val="18"/>
                <w:szCs w:val="18"/>
              </w:rPr>
              <w:t>9</w:t>
            </w:r>
            <w:r w:rsidR="00516500">
              <w:rPr>
                <w:rFonts w:asciiTheme="minorHAnsi" w:hAnsiTheme="minorHAnsi" w:cstheme="minorHAnsi"/>
                <w:color w:val="000000"/>
                <w:sz w:val="18"/>
                <w:szCs w:val="18"/>
              </w:rPr>
              <w:t>.</w:t>
            </w:r>
            <w:r w:rsidRPr="00396C98">
              <w:rPr>
                <w:rFonts w:asciiTheme="minorHAnsi" w:hAnsiTheme="minorHAnsi" w:cstheme="minorHAnsi"/>
                <w:color w:val="000000"/>
                <w:sz w:val="18"/>
                <w:szCs w:val="18"/>
              </w:rPr>
              <w:t>0</w:t>
            </w:r>
          </w:p>
        </w:tc>
      </w:tr>
    </w:tbl>
    <w:p w:rsidR="005E5CB1" w:rsidRPr="00A920A4" w:rsidRDefault="00A920A4" w:rsidP="005E5CB1">
      <w:pPr>
        <w:rPr>
          <w:sz w:val="18"/>
          <w:szCs w:val="18"/>
          <w:lang w:eastAsia="en-AU"/>
        </w:rPr>
      </w:pPr>
      <w:r w:rsidRPr="00A920A4">
        <w:rPr>
          <w:sz w:val="18"/>
          <w:szCs w:val="18"/>
          <w:lang w:eastAsia="en-AU"/>
        </w:rPr>
        <w:t>Source:</w:t>
      </w:r>
      <w:r w:rsidR="00201BF8">
        <w:rPr>
          <w:sz w:val="18"/>
          <w:szCs w:val="18"/>
          <w:lang w:eastAsia="en-AU"/>
        </w:rPr>
        <w:t xml:space="preserve"> </w:t>
      </w:r>
      <w:proofErr w:type="spellStart"/>
      <w:r w:rsidR="005E5CB1" w:rsidRPr="005E5CB1">
        <w:rPr>
          <w:sz w:val="18"/>
          <w:szCs w:val="18"/>
          <w:lang w:eastAsia="en-AU"/>
        </w:rPr>
        <w:t>Maigeng</w:t>
      </w:r>
      <w:proofErr w:type="spellEnd"/>
      <w:r w:rsidR="005E5CB1" w:rsidRPr="005E5CB1">
        <w:rPr>
          <w:sz w:val="18"/>
          <w:szCs w:val="18"/>
          <w:lang w:eastAsia="en-AU"/>
        </w:rPr>
        <w:t xml:space="preserve"> Zhou et al.</w:t>
      </w:r>
      <w:r w:rsidR="005E5CB1" w:rsidRPr="00A920A4">
        <w:rPr>
          <w:sz w:val="18"/>
          <w:szCs w:val="18"/>
          <w:lang w:eastAsia="en-AU"/>
        </w:rPr>
        <w:t xml:space="preserve"> </w:t>
      </w:r>
      <w:r w:rsidR="005E5CB1">
        <w:rPr>
          <w:sz w:val="18"/>
          <w:szCs w:val="18"/>
          <w:lang w:eastAsia="en-AU"/>
        </w:rPr>
        <w:t>(</w:t>
      </w:r>
      <w:r w:rsidR="005E5CB1" w:rsidRPr="00A920A4">
        <w:rPr>
          <w:sz w:val="18"/>
          <w:szCs w:val="18"/>
          <w:lang w:eastAsia="en-AU"/>
        </w:rPr>
        <w:t>2</w:t>
      </w:r>
      <w:r w:rsidR="005E5CB1">
        <w:rPr>
          <w:sz w:val="18"/>
          <w:szCs w:val="18"/>
          <w:lang w:eastAsia="en-AU"/>
        </w:rPr>
        <w:t>01</w:t>
      </w:r>
      <w:r w:rsidR="005E5CB1" w:rsidRPr="00A920A4">
        <w:rPr>
          <w:sz w:val="18"/>
          <w:szCs w:val="18"/>
          <w:lang w:eastAsia="en-AU"/>
        </w:rPr>
        <w:t>6</w:t>
      </w:r>
      <w:r w:rsidR="005E5CB1">
        <w:rPr>
          <w:sz w:val="18"/>
          <w:szCs w:val="18"/>
          <w:lang w:eastAsia="en-AU"/>
        </w:rPr>
        <w:t>).</w:t>
      </w:r>
    </w:p>
    <w:p w:rsidR="00063666" w:rsidRPr="00A920A4" w:rsidRDefault="00063666" w:rsidP="005B2D9B">
      <w:pPr>
        <w:rPr>
          <w:sz w:val="18"/>
          <w:szCs w:val="18"/>
          <w:lang w:eastAsia="en-AU"/>
        </w:rPr>
      </w:pPr>
    </w:p>
    <w:p w:rsidR="00E41373" w:rsidRDefault="00864E95">
      <w:r>
        <w:rPr>
          <w:lang w:eastAsia="en-AU"/>
        </w:rPr>
        <w:lastRenderedPageBreak/>
        <w:t xml:space="preserve">Cancers </w:t>
      </w:r>
      <w:r w:rsidR="00D724F6">
        <w:rPr>
          <w:lang w:eastAsia="en-AU"/>
        </w:rPr>
        <w:t xml:space="preserve">also </w:t>
      </w:r>
      <w:r>
        <w:rPr>
          <w:lang w:eastAsia="en-AU"/>
        </w:rPr>
        <w:t xml:space="preserve">account for one third of the leading causes of death for women in Jiangsu. Lung cancer is the largest at 19.1 per 100,000 women, stomach cancer (18.6), </w:t>
      </w:r>
      <w:r w:rsidR="00201BF8">
        <w:rPr>
          <w:lang w:eastAsia="en-AU"/>
        </w:rPr>
        <w:t xml:space="preserve">liver </w:t>
      </w:r>
      <w:r>
        <w:rPr>
          <w:lang w:eastAsia="en-AU"/>
        </w:rPr>
        <w:t xml:space="preserve">(13.3), </w:t>
      </w:r>
      <w:r w:rsidR="00201BF8">
        <w:rPr>
          <w:lang w:eastAsia="en-AU"/>
        </w:rPr>
        <w:t xml:space="preserve">colon and </w:t>
      </w:r>
      <w:r>
        <w:rPr>
          <w:lang w:eastAsia="en-AU"/>
        </w:rPr>
        <w:t xml:space="preserve">rectum cancer (7.9) and </w:t>
      </w:r>
      <w:r w:rsidR="00201BF8">
        <w:rPr>
          <w:lang w:eastAsia="en-AU"/>
        </w:rPr>
        <w:t xml:space="preserve">breast </w:t>
      </w:r>
      <w:r>
        <w:rPr>
          <w:lang w:eastAsia="en-AU"/>
        </w:rPr>
        <w:t>cancer (5.6)</w:t>
      </w:r>
      <w:r w:rsidR="00201BF8">
        <w:rPr>
          <w:lang w:eastAsia="en-AU"/>
        </w:rPr>
        <w:t xml:space="preserve"> </w:t>
      </w:r>
      <w:r>
        <w:rPr>
          <w:lang w:eastAsia="en-AU"/>
        </w:rPr>
        <w:t>(see Table 1B)</w:t>
      </w:r>
      <w:r w:rsidR="00201BF8">
        <w:rPr>
          <w:lang w:eastAsia="en-AU"/>
        </w:rPr>
        <w:t>.</w:t>
      </w:r>
      <w:r>
        <w:rPr>
          <w:lang w:eastAsia="en-AU"/>
        </w:rPr>
        <w:t xml:space="preserve"> </w:t>
      </w:r>
      <w:r w:rsidR="00A920A4">
        <w:rPr>
          <w:lang w:eastAsia="en-AU"/>
        </w:rPr>
        <w:t xml:space="preserve">Cerebrovascular disease is the leading cause of death for woman in Jiangsu, this is followed by </w:t>
      </w:r>
      <w:r w:rsidR="00201BF8">
        <w:rPr>
          <w:lang w:eastAsia="en-AU"/>
        </w:rPr>
        <w:t xml:space="preserve">ischaemic </w:t>
      </w:r>
      <w:r w:rsidR="00A920A4">
        <w:rPr>
          <w:lang w:eastAsia="en-AU"/>
        </w:rPr>
        <w:t xml:space="preserve">heart disease, COPD, </w:t>
      </w:r>
      <w:r w:rsidR="00201BF8">
        <w:rPr>
          <w:lang w:eastAsia="en-AU"/>
        </w:rPr>
        <w:t xml:space="preserve">lung </w:t>
      </w:r>
      <w:r w:rsidR="00A920A4">
        <w:rPr>
          <w:lang w:eastAsia="en-AU"/>
        </w:rPr>
        <w:t xml:space="preserve">cancer, Alzheimer’s disease and </w:t>
      </w:r>
      <w:r w:rsidR="00201BF8">
        <w:rPr>
          <w:lang w:eastAsia="en-AU"/>
        </w:rPr>
        <w:t xml:space="preserve">stomach </w:t>
      </w:r>
      <w:r w:rsidR="00A920A4">
        <w:rPr>
          <w:lang w:eastAsia="en-AU"/>
        </w:rPr>
        <w:t>cancer. The death rates for women are considerably less than those for men for similar diseases. For example</w:t>
      </w:r>
      <w:r w:rsidR="00201BF8">
        <w:rPr>
          <w:lang w:eastAsia="en-AU"/>
        </w:rPr>
        <w:t>,</w:t>
      </w:r>
      <w:r w:rsidR="00A920A4">
        <w:rPr>
          <w:lang w:eastAsia="en-AU"/>
        </w:rPr>
        <w:t xml:space="preserve"> the death rate per 100,</w:t>
      </w:r>
      <w:r w:rsidR="004C54EE">
        <w:rPr>
          <w:lang w:eastAsia="en-AU"/>
        </w:rPr>
        <w:t>0</w:t>
      </w:r>
      <w:r w:rsidR="00A920A4">
        <w:rPr>
          <w:lang w:eastAsia="en-AU"/>
        </w:rPr>
        <w:t xml:space="preserve">00 for men for </w:t>
      </w:r>
      <w:r w:rsidR="00201BF8">
        <w:rPr>
          <w:lang w:eastAsia="en-AU"/>
        </w:rPr>
        <w:t xml:space="preserve">cerebrovascular </w:t>
      </w:r>
      <w:r w:rsidR="00A920A4">
        <w:rPr>
          <w:lang w:eastAsia="en-AU"/>
        </w:rPr>
        <w:t>disease</w:t>
      </w:r>
      <w:r w:rsidR="0033255E">
        <w:rPr>
          <w:lang w:eastAsia="en-AU"/>
        </w:rPr>
        <w:t xml:space="preserve"> </w:t>
      </w:r>
      <w:r w:rsidR="0033255E">
        <w:t>i</w:t>
      </w:r>
      <w:r w:rsidR="00A920A4">
        <w:t>s 151</w:t>
      </w:r>
      <w:r w:rsidR="00B20DD7">
        <w:t>.</w:t>
      </w:r>
      <w:r w:rsidR="00A920A4">
        <w:t>8</w:t>
      </w:r>
      <w:r w:rsidR="00201BF8">
        <w:t>,</w:t>
      </w:r>
      <w:r w:rsidR="00A920A4">
        <w:t xml:space="preserve"> wher</w:t>
      </w:r>
      <w:r w:rsidR="004C54EE">
        <w:t>e</w:t>
      </w:r>
      <w:r w:rsidR="00A920A4">
        <w:t>as for women it is 112.7</w:t>
      </w:r>
      <w:r w:rsidR="00201BF8">
        <w:t>;</w:t>
      </w:r>
      <w:r w:rsidR="004C54EE">
        <w:t xml:space="preserve"> and similarly for </w:t>
      </w:r>
      <w:r w:rsidR="00201BF8">
        <w:rPr>
          <w:lang w:eastAsia="en-AU"/>
        </w:rPr>
        <w:t xml:space="preserve">ischaemic </w:t>
      </w:r>
      <w:r w:rsidR="004C54EE">
        <w:rPr>
          <w:lang w:eastAsia="en-AU"/>
        </w:rPr>
        <w:t>heart disease where for men it is 89.5</w:t>
      </w:r>
      <w:r w:rsidR="00201BF8">
        <w:rPr>
          <w:lang w:eastAsia="en-AU"/>
        </w:rPr>
        <w:t>,</w:t>
      </w:r>
      <w:r w:rsidR="004C54EE">
        <w:rPr>
          <w:lang w:eastAsia="en-AU"/>
        </w:rPr>
        <w:t xml:space="preserve"> but only 62.9 for women. </w:t>
      </w:r>
      <w:r>
        <w:rPr>
          <w:lang w:eastAsia="en-AU"/>
        </w:rPr>
        <w:t>Deaths from cancer for women are also considerably lower for women than men.</w:t>
      </w:r>
      <w:r w:rsidR="001519B8">
        <w:rPr>
          <w:lang w:eastAsia="en-AU"/>
        </w:rPr>
        <w:t xml:space="preserve"> </w:t>
      </w:r>
      <w:r w:rsidR="004C54EE">
        <w:rPr>
          <w:lang w:eastAsia="en-AU"/>
        </w:rPr>
        <w:t>Generally</w:t>
      </w:r>
      <w:r w:rsidR="00D876EE">
        <w:rPr>
          <w:lang w:eastAsia="en-AU"/>
        </w:rPr>
        <w:t>,</w:t>
      </w:r>
      <w:r w:rsidR="004C54EE">
        <w:rPr>
          <w:lang w:eastAsia="en-AU"/>
        </w:rPr>
        <w:t xml:space="preserve"> the death rates in Jiangsu for women are lower than for China</w:t>
      </w:r>
      <w:r w:rsidR="00D876EE">
        <w:rPr>
          <w:lang w:eastAsia="en-AU"/>
        </w:rPr>
        <w:t>,</w:t>
      </w:r>
      <w:r w:rsidR="004C54EE">
        <w:rPr>
          <w:lang w:eastAsia="en-AU"/>
        </w:rPr>
        <w:t xml:space="preserve"> but higher than Zhejiang.</w:t>
      </w:r>
    </w:p>
    <w:p w:rsidR="00A321CF" w:rsidRDefault="00A321CF" w:rsidP="00AB6AA9">
      <w:pPr>
        <w:rPr>
          <w:lang w:eastAsia="en-AU"/>
        </w:rPr>
      </w:pPr>
      <w:r>
        <w:rPr>
          <w:lang w:eastAsia="en-AU"/>
        </w:rPr>
        <w:t>Figure</w:t>
      </w:r>
      <w:r w:rsidR="000B0EDE">
        <w:rPr>
          <w:lang w:eastAsia="en-AU"/>
        </w:rPr>
        <w:t xml:space="preserve"> </w:t>
      </w:r>
      <w:r w:rsidR="0013771C">
        <w:rPr>
          <w:lang w:eastAsia="en-AU"/>
        </w:rPr>
        <w:t>5</w:t>
      </w:r>
      <w:r w:rsidR="000B0EDE">
        <w:rPr>
          <w:lang w:eastAsia="en-AU"/>
        </w:rPr>
        <w:t>,</w:t>
      </w:r>
      <w:r w:rsidR="00595318">
        <w:rPr>
          <w:lang w:eastAsia="en-AU"/>
        </w:rPr>
        <w:t xml:space="preserve"> nonetheless</w:t>
      </w:r>
      <w:r w:rsidR="000B0EDE">
        <w:rPr>
          <w:lang w:eastAsia="en-AU"/>
        </w:rPr>
        <w:t>,</w:t>
      </w:r>
      <w:r>
        <w:rPr>
          <w:lang w:eastAsia="en-AU"/>
        </w:rPr>
        <w:t xml:space="preserve"> illustrates the </w:t>
      </w:r>
      <w:r w:rsidRPr="00595318">
        <w:rPr>
          <w:lang w:eastAsia="en-AU"/>
        </w:rPr>
        <w:t>twin problems of ageing</w:t>
      </w:r>
      <w:r>
        <w:rPr>
          <w:lang w:eastAsia="en-AU"/>
        </w:rPr>
        <w:t xml:space="preserve"> and rising disease burden for</w:t>
      </w:r>
      <w:r w:rsidR="001474BE">
        <w:rPr>
          <w:lang w:eastAsia="en-AU"/>
        </w:rPr>
        <w:t xml:space="preserve"> </w:t>
      </w:r>
      <w:r w:rsidR="001440F4">
        <w:rPr>
          <w:lang w:eastAsia="en-AU"/>
        </w:rPr>
        <w:t>Jiangsu</w:t>
      </w:r>
      <w:r>
        <w:rPr>
          <w:lang w:eastAsia="en-AU"/>
        </w:rPr>
        <w:t xml:space="preserve">. The disease burden rises sharply with </w:t>
      </w:r>
      <w:r w:rsidRPr="00B42CE3">
        <w:rPr>
          <w:lang w:eastAsia="en-AU"/>
        </w:rPr>
        <w:t xml:space="preserve">age. </w:t>
      </w:r>
      <w:r w:rsidRPr="007105D9">
        <w:rPr>
          <w:lang w:eastAsia="en-AU"/>
        </w:rPr>
        <w:t xml:space="preserve">For </w:t>
      </w:r>
      <w:r w:rsidR="001440F4" w:rsidRPr="007105D9">
        <w:rPr>
          <w:lang w:eastAsia="en-AU"/>
        </w:rPr>
        <w:t>Jiangsu</w:t>
      </w:r>
      <w:r w:rsidR="00D876EE">
        <w:rPr>
          <w:lang w:eastAsia="en-AU"/>
        </w:rPr>
        <w:t>,</w:t>
      </w:r>
      <w:r w:rsidRPr="007105D9">
        <w:rPr>
          <w:lang w:eastAsia="en-AU"/>
        </w:rPr>
        <w:t xml:space="preserve"> the age adjusted burden at age 65 is about </w:t>
      </w:r>
      <w:r w:rsidR="007105D9">
        <w:rPr>
          <w:lang w:eastAsia="en-AU"/>
        </w:rPr>
        <w:t>178</w:t>
      </w:r>
      <w:r w:rsidRPr="007105D9">
        <w:rPr>
          <w:lang w:eastAsia="en-AU"/>
        </w:rPr>
        <w:t>% higher than at age 45</w:t>
      </w:r>
      <w:r w:rsidR="007105D9">
        <w:rPr>
          <w:lang w:eastAsia="en-AU"/>
        </w:rPr>
        <w:t xml:space="preserve"> for men and 114% higher for women at age 65.</w:t>
      </w:r>
    </w:p>
    <w:p w:rsidR="004B26AF" w:rsidRPr="004B26AF" w:rsidRDefault="0013771C" w:rsidP="00A321CF">
      <w:pPr>
        <w:pStyle w:val="Figureheading"/>
      </w:pPr>
      <w:r>
        <w:t>Figure 5</w:t>
      </w:r>
      <w:r w:rsidR="00A321CF">
        <w:t xml:space="preserve"> </w:t>
      </w:r>
      <w:r w:rsidR="004B26AF" w:rsidRPr="004B26AF">
        <w:t xml:space="preserve">disease burden by age and </w:t>
      </w:r>
      <w:r w:rsidR="00DC484A">
        <w:t>sex</w:t>
      </w:r>
      <w:r w:rsidR="004B26AF" w:rsidRPr="004B26AF">
        <w:t xml:space="preserve"> (YL</w:t>
      </w:r>
      <w:r w:rsidR="00DD73E9">
        <w:t>L</w:t>
      </w:r>
      <w:r w:rsidR="004B26AF" w:rsidRPr="004B26AF">
        <w:t>s</w:t>
      </w:r>
      <w:r w:rsidR="00A321CF">
        <w:t xml:space="preserve"> per 100</w:t>
      </w:r>
      <w:r w:rsidR="00DD73E9">
        <w:t>,00</w:t>
      </w:r>
      <w:r w:rsidR="00A321CF">
        <w:t>0</w:t>
      </w:r>
      <w:r w:rsidR="004B26AF" w:rsidRPr="004B26AF">
        <w:t xml:space="preserve">), </w:t>
      </w:r>
      <w:r w:rsidR="00DD73E9">
        <w:t>Jiangsu</w:t>
      </w:r>
      <w:r w:rsidR="004B26AF" w:rsidRPr="004B26AF">
        <w:t>, 201</w:t>
      </w:r>
      <w:r w:rsidR="00A321CF">
        <w:t>3</w:t>
      </w:r>
      <w:r w:rsidR="004B26AF" w:rsidRPr="004B26AF">
        <w:t xml:space="preserve"> </w:t>
      </w:r>
    </w:p>
    <w:p w:rsidR="004B26AF" w:rsidRDefault="00DD73E9" w:rsidP="001906CE">
      <w:pPr>
        <w:spacing w:after="0"/>
        <w:rPr>
          <w:lang w:eastAsia="en-AU"/>
        </w:rPr>
      </w:pPr>
      <w:r>
        <w:rPr>
          <w:noProof/>
          <w:lang w:eastAsia="en-AU"/>
        </w:rPr>
        <w:drawing>
          <wp:inline distT="0" distB="0" distL="0" distR="0" wp14:anchorId="127010ED" wp14:editId="704616EE">
            <wp:extent cx="4572000" cy="2743200"/>
            <wp:effectExtent l="0" t="0" r="0" b="0"/>
            <wp:docPr id="1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A321CF" w:rsidRPr="00516500" w:rsidRDefault="00A321CF" w:rsidP="00A321CF">
      <w:pPr>
        <w:spacing w:after="0"/>
        <w:rPr>
          <w:rFonts w:eastAsia="Calibri" w:cs="Times New Roman"/>
          <w:sz w:val="18"/>
          <w:szCs w:val="16"/>
        </w:rPr>
      </w:pPr>
      <w:r w:rsidRPr="00516500">
        <w:rPr>
          <w:rFonts w:eastAsia="Calibri" w:cs="Times New Roman"/>
          <w:sz w:val="18"/>
          <w:szCs w:val="16"/>
        </w:rPr>
        <w:t xml:space="preserve">Source: </w:t>
      </w:r>
      <w:proofErr w:type="spellStart"/>
      <w:r w:rsidR="00281946" w:rsidRPr="00516500">
        <w:rPr>
          <w:rFonts w:eastAsia="Calibri" w:cs="Times New Roman"/>
          <w:sz w:val="18"/>
          <w:szCs w:val="16"/>
        </w:rPr>
        <w:t>Healthgrove</w:t>
      </w:r>
      <w:proofErr w:type="spellEnd"/>
      <w:r w:rsidR="005E5CB1" w:rsidRPr="00516500">
        <w:rPr>
          <w:rFonts w:eastAsia="Calibri" w:cs="Times New Roman"/>
          <w:sz w:val="18"/>
          <w:szCs w:val="16"/>
        </w:rPr>
        <w:t xml:space="preserve"> (2017)</w:t>
      </w:r>
      <w:r w:rsidR="00D876EE" w:rsidRPr="00516500">
        <w:rPr>
          <w:rFonts w:eastAsia="Calibri" w:cs="Times New Roman"/>
          <w:sz w:val="18"/>
          <w:szCs w:val="16"/>
        </w:rPr>
        <w:t>.</w:t>
      </w:r>
    </w:p>
    <w:p w:rsidR="00A321CF" w:rsidRDefault="00A321CF" w:rsidP="00AB6AA9">
      <w:pPr>
        <w:rPr>
          <w:lang w:eastAsia="en-AU"/>
        </w:rPr>
      </w:pPr>
    </w:p>
    <w:p w:rsidR="00AB4FFA" w:rsidRDefault="00AB4FFA" w:rsidP="00AB4FFA">
      <w:pPr>
        <w:pStyle w:val="Heading2"/>
      </w:pPr>
      <w:bookmarkStart w:id="8" w:name="_Toc432083907"/>
      <w:r w:rsidRPr="00FC2A6F">
        <w:t>Estimating Worker Attendance Costs of NCDs</w:t>
      </w:r>
      <w:bookmarkEnd w:id="8"/>
    </w:p>
    <w:p w:rsidR="00AB4FFA" w:rsidRPr="00AE7078" w:rsidRDefault="00AB4FFA" w:rsidP="00AB4FFA">
      <w:pPr>
        <w:pStyle w:val="Heading3"/>
      </w:pPr>
      <w:bookmarkStart w:id="9" w:name="_Toc432083908"/>
      <w:r>
        <w:t>Modelling methodology</w:t>
      </w:r>
      <w:bookmarkEnd w:id="9"/>
    </w:p>
    <w:p w:rsidR="00ED38D7" w:rsidRDefault="005C250A" w:rsidP="00AB4FFA">
      <w:pPr>
        <w:rPr>
          <w:rFonts w:eastAsia="Calibri" w:cs="Times New Roman"/>
          <w:noProof/>
          <w:szCs w:val="22"/>
          <w:lang w:eastAsia="en-AU"/>
        </w:rPr>
      </w:pPr>
      <w:r>
        <w:rPr>
          <w:rFonts w:eastAsia="Calibri" w:cs="Times New Roman"/>
          <w:szCs w:val="22"/>
          <w:lang w:eastAsia="en-AU"/>
        </w:rPr>
        <w:t xml:space="preserve">The modelling methodology is based on estimating the reduction in productive capacity due to the impact of </w:t>
      </w:r>
      <w:r w:rsidR="008A1DDB">
        <w:rPr>
          <w:rFonts w:eastAsia="Calibri" w:cs="Times New Roman"/>
          <w:noProof/>
          <w:szCs w:val="22"/>
          <w:lang w:eastAsia="en-AU"/>
        </w:rPr>
        <w:t>ill health</w:t>
      </w:r>
      <w:r w:rsidR="008A1DDB">
        <w:rPr>
          <w:rFonts w:eastAsia="Calibri" w:cs="Times New Roman"/>
          <w:szCs w:val="22"/>
          <w:lang w:eastAsia="en-AU"/>
        </w:rPr>
        <w:t xml:space="preserve"> on the </w:t>
      </w:r>
      <w:r>
        <w:rPr>
          <w:rFonts w:eastAsia="Calibri" w:cs="Times New Roman"/>
          <w:noProof/>
          <w:szCs w:val="22"/>
          <w:lang w:eastAsia="en-AU"/>
        </w:rPr>
        <w:t>workforce as a result of</w:t>
      </w:r>
      <w:r w:rsidR="00ED38D7">
        <w:rPr>
          <w:rFonts w:eastAsia="Calibri" w:cs="Times New Roman"/>
          <w:noProof/>
          <w:szCs w:val="22"/>
          <w:lang w:eastAsia="en-AU"/>
        </w:rPr>
        <w:t xml:space="preserve"> asenteeism, presenteeism and early retirement. </w:t>
      </w:r>
    </w:p>
    <w:p w:rsidR="00696111" w:rsidRDefault="00AB4FFA" w:rsidP="00A321CF">
      <w:pPr>
        <w:rPr>
          <w:rFonts w:eastAsia="Calibri" w:cs="Times New Roman"/>
          <w:noProof/>
          <w:szCs w:val="22"/>
          <w:lang w:eastAsia="en-AU"/>
        </w:rPr>
      </w:pPr>
      <w:r>
        <w:rPr>
          <w:noProof/>
          <w:lang w:eastAsia="en-AU"/>
        </w:rPr>
        <w:t xml:space="preserve">The modelling of the impact of NCDs is undertaken for 13 </w:t>
      </w:r>
      <w:r w:rsidR="00696111">
        <w:rPr>
          <w:noProof/>
          <w:lang w:eastAsia="en-AU"/>
        </w:rPr>
        <w:t>NCDs</w:t>
      </w:r>
      <w:r>
        <w:rPr>
          <w:noProof/>
          <w:lang w:eastAsia="en-AU"/>
        </w:rPr>
        <w:t xml:space="preserve"> listed in Table </w:t>
      </w:r>
      <w:r w:rsidR="00314BBD">
        <w:rPr>
          <w:noProof/>
          <w:lang w:eastAsia="en-AU"/>
        </w:rPr>
        <w:t>1</w:t>
      </w:r>
      <w:r>
        <w:rPr>
          <w:noProof/>
          <w:lang w:eastAsia="en-AU"/>
        </w:rPr>
        <w:t xml:space="preserve"> that were identified as most relevant to reductions in labour force participation and productivity using the disease descriptions from the 2010 Global Burden of Disease study (Murray et al</w:t>
      </w:r>
      <w:r w:rsidRPr="00263A42">
        <w:rPr>
          <w:noProof/>
          <w:lang w:eastAsia="en-AU"/>
        </w:rPr>
        <w:t>. 2012</w:t>
      </w:r>
      <w:r>
        <w:rPr>
          <w:noProof/>
          <w:lang w:eastAsia="en-AU"/>
        </w:rPr>
        <w:t>).</w:t>
      </w:r>
      <w:r w:rsidRPr="00D24240">
        <w:rPr>
          <w:rFonts w:eastAsia="Calibri" w:cs="Times New Roman"/>
          <w:noProof/>
          <w:szCs w:val="22"/>
          <w:lang w:eastAsia="en-AU"/>
        </w:rPr>
        <w:t xml:space="preserve"> </w:t>
      </w:r>
      <w:r w:rsidR="00ED38D7">
        <w:rPr>
          <w:rFonts w:eastAsia="Calibri" w:cs="Times New Roman"/>
          <w:noProof/>
          <w:szCs w:val="22"/>
          <w:lang w:eastAsia="en-AU"/>
        </w:rPr>
        <w:t xml:space="preserve">The disabilty weight indicates the severity of </w:t>
      </w:r>
      <w:r w:rsidR="00DD0298">
        <w:rPr>
          <w:rFonts w:eastAsia="Calibri" w:cs="Times New Roman"/>
          <w:noProof/>
          <w:szCs w:val="22"/>
          <w:lang w:eastAsia="en-AU"/>
        </w:rPr>
        <w:t>each disease.</w:t>
      </w:r>
      <w:bookmarkStart w:id="10" w:name="_Toc432086639"/>
    </w:p>
    <w:p w:rsidR="00AB4FFA" w:rsidRPr="007730DE" w:rsidRDefault="00AB4FFA" w:rsidP="0088478C">
      <w:pPr>
        <w:pStyle w:val="Figureheading"/>
      </w:pPr>
      <w:r w:rsidRPr="00913922">
        <w:lastRenderedPageBreak/>
        <w:t xml:space="preserve">Table </w:t>
      </w:r>
      <w:r w:rsidR="00232158">
        <w:t>2</w:t>
      </w:r>
      <w:r w:rsidRPr="00913922">
        <w:t xml:space="preserve"> Disability weights and absenteeism and presenteeism assumptions, twelve countries</w:t>
      </w:r>
      <w:bookmarkEnd w:id="10"/>
    </w:p>
    <w:tbl>
      <w:tblPr>
        <w:tblStyle w:val="ListTable3-Accent11"/>
        <w:tblW w:w="9180" w:type="dxa"/>
        <w:tblLook w:val="0420" w:firstRow="1" w:lastRow="0" w:firstColumn="0" w:lastColumn="0" w:noHBand="0" w:noVBand="1"/>
      </w:tblPr>
      <w:tblGrid>
        <w:gridCol w:w="3740"/>
        <w:gridCol w:w="1125"/>
        <w:gridCol w:w="2189"/>
        <w:gridCol w:w="2126"/>
      </w:tblGrid>
      <w:tr w:rsidR="00AB4FFA" w:rsidRPr="00D876EE" w:rsidTr="0088478C">
        <w:trPr>
          <w:cnfStyle w:val="100000000000" w:firstRow="1" w:lastRow="0" w:firstColumn="0" w:lastColumn="0" w:oddVBand="0" w:evenVBand="0" w:oddHBand="0" w:evenHBand="0" w:firstRowFirstColumn="0" w:firstRowLastColumn="0" w:lastRowFirstColumn="0" w:lastRowLastColumn="0"/>
          <w:trHeight w:val="288"/>
        </w:trPr>
        <w:tc>
          <w:tcPr>
            <w:tcW w:w="3740" w:type="dxa"/>
          </w:tcPr>
          <w:p w:rsidR="00AB4FFA" w:rsidRPr="00396C98" w:rsidRDefault="00AB4FFA" w:rsidP="00563642">
            <w:pPr>
              <w:spacing w:after="0"/>
              <w:rPr>
                <w:rFonts w:asciiTheme="minorHAnsi" w:hAnsiTheme="minorHAnsi" w:cstheme="minorHAnsi"/>
                <w:color w:val="000000"/>
                <w:sz w:val="18"/>
                <w:szCs w:val="18"/>
              </w:rPr>
            </w:pPr>
            <w:r w:rsidRPr="00396C98">
              <w:rPr>
                <w:rFonts w:asciiTheme="minorHAnsi" w:hAnsiTheme="minorHAnsi" w:cstheme="minorHAnsi"/>
                <w:sz w:val="18"/>
                <w:szCs w:val="18"/>
              </w:rPr>
              <w:t>Disease</w:t>
            </w:r>
          </w:p>
        </w:tc>
        <w:tc>
          <w:tcPr>
            <w:tcW w:w="1125" w:type="dxa"/>
          </w:tcPr>
          <w:p w:rsidR="00AB4FFA" w:rsidRPr="00396C98" w:rsidRDefault="00AB4FFA" w:rsidP="00563642">
            <w:pPr>
              <w:spacing w:after="0"/>
              <w:jc w:val="right"/>
              <w:rPr>
                <w:rFonts w:asciiTheme="minorHAnsi" w:hAnsiTheme="minorHAnsi" w:cstheme="minorHAnsi"/>
                <w:sz w:val="18"/>
                <w:szCs w:val="18"/>
              </w:rPr>
            </w:pPr>
            <w:r w:rsidRPr="00396C98">
              <w:rPr>
                <w:rFonts w:asciiTheme="minorHAnsi" w:hAnsiTheme="minorHAnsi" w:cstheme="minorHAnsi"/>
                <w:sz w:val="18"/>
                <w:szCs w:val="18"/>
              </w:rPr>
              <w:t>Disability weight</w:t>
            </w:r>
          </w:p>
        </w:tc>
        <w:tc>
          <w:tcPr>
            <w:tcW w:w="2189" w:type="dxa"/>
          </w:tcPr>
          <w:p w:rsidR="00AB4FFA" w:rsidRPr="00396C98" w:rsidRDefault="00AB4FFA" w:rsidP="00563642">
            <w:pPr>
              <w:spacing w:after="0"/>
              <w:jc w:val="center"/>
              <w:rPr>
                <w:rFonts w:asciiTheme="minorHAnsi" w:hAnsiTheme="minorHAnsi" w:cstheme="minorHAnsi"/>
                <w:sz w:val="18"/>
                <w:szCs w:val="18"/>
              </w:rPr>
            </w:pPr>
            <w:r w:rsidRPr="00396C98">
              <w:rPr>
                <w:rFonts w:asciiTheme="minorHAnsi" w:hAnsiTheme="minorHAnsi" w:cstheme="minorHAnsi"/>
                <w:sz w:val="18"/>
                <w:szCs w:val="18"/>
              </w:rPr>
              <w:t>Per</w:t>
            </w:r>
            <w:r w:rsidR="006D4283" w:rsidRPr="00396C98">
              <w:rPr>
                <w:rFonts w:asciiTheme="minorHAnsi" w:hAnsiTheme="minorHAnsi" w:cstheme="minorHAnsi"/>
                <w:sz w:val="18"/>
                <w:szCs w:val="18"/>
              </w:rPr>
              <w:t xml:space="preserve"> </w:t>
            </w:r>
            <w:r w:rsidRPr="00396C98">
              <w:rPr>
                <w:rFonts w:asciiTheme="minorHAnsi" w:hAnsiTheme="minorHAnsi" w:cstheme="minorHAnsi"/>
                <w:sz w:val="18"/>
                <w:szCs w:val="18"/>
              </w:rPr>
              <w:t>cent productivity loss due to absenteeism</w:t>
            </w:r>
            <w:r w:rsidRPr="00396C98">
              <w:rPr>
                <w:rFonts w:asciiTheme="minorHAnsi" w:hAnsiTheme="minorHAnsi" w:cstheme="minorHAnsi"/>
                <w:sz w:val="18"/>
                <w:szCs w:val="18"/>
              </w:rPr>
              <w:br/>
              <w:t xml:space="preserve"> per employee per year</w:t>
            </w:r>
          </w:p>
        </w:tc>
        <w:tc>
          <w:tcPr>
            <w:tcW w:w="2126" w:type="dxa"/>
            <w:noWrap/>
            <w:hideMark/>
          </w:tcPr>
          <w:p w:rsidR="00AB4FFA" w:rsidRPr="00396C98" w:rsidRDefault="00AB4FFA" w:rsidP="00563642">
            <w:pPr>
              <w:spacing w:after="0"/>
              <w:jc w:val="center"/>
              <w:rPr>
                <w:rFonts w:asciiTheme="minorHAnsi" w:hAnsiTheme="minorHAnsi" w:cstheme="minorHAnsi"/>
                <w:sz w:val="18"/>
                <w:szCs w:val="18"/>
              </w:rPr>
            </w:pPr>
            <w:r w:rsidRPr="00396C98">
              <w:rPr>
                <w:rFonts w:asciiTheme="minorHAnsi" w:hAnsiTheme="minorHAnsi" w:cstheme="minorHAnsi"/>
                <w:sz w:val="18"/>
                <w:szCs w:val="18"/>
              </w:rPr>
              <w:t>Per</w:t>
            </w:r>
            <w:r w:rsidR="006D4283" w:rsidRPr="00396C98">
              <w:rPr>
                <w:rFonts w:asciiTheme="minorHAnsi" w:hAnsiTheme="minorHAnsi" w:cstheme="minorHAnsi"/>
                <w:sz w:val="18"/>
                <w:szCs w:val="18"/>
              </w:rPr>
              <w:t xml:space="preserve"> </w:t>
            </w:r>
            <w:r w:rsidRPr="00396C98">
              <w:rPr>
                <w:rFonts w:asciiTheme="minorHAnsi" w:hAnsiTheme="minorHAnsi" w:cstheme="minorHAnsi"/>
                <w:sz w:val="18"/>
                <w:szCs w:val="18"/>
              </w:rPr>
              <w:t xml:space="preserve">cent productivity loss due to presenteeism </w:t>
            </w:r>
            <w:r w:rsidR="00696111" w:rsidRPr="00396C98">
              <w:rPr>
                <w:rFonts w:asciiTheme="minorHAnsi" w:hAnsiTheme="minorHAnsi" w:cstheme="minorHAnsi"/>
                <w:sz w:val="18"/>
                <w:szCs w:val="18"/>
              </w:rPr>
              <w:br/>
            </w:r>
            <w:r w:rsidRPr="00396C98">
              <w:rPr>
                <w:rFonts w:asciiTheme="minorHAnsi" w:hAnsiTheme="minorHAnsi" w:cstheme="minorHAnsi"/>
                <w:sz w:val="18"/>
                <w:szCs w:val="18"/>
              </w:rPr>
              <w:t>per employee per year</w:t>
            </w:r>
          </w:p>
        </w:tc>
      </w:tr>
      <w:tr w:rsidR="00AB4FFA" w:rsidRPr="00D876EE" w:rsidTr="0088478C">
        <w:trPr>
          <w:cnfStyle w:val="000000100000" w:firstRow="0" w:lastRow="0" w:firstColumn="0" w:lastColumn="0" w:oddVBand="0" w:evenVBand="0" w:oddHBand="1" w:evenHBand="0" w:firstRowFirstColumn="0" w:firstRowLastColumn="0" w:lastRowFirstColumn="0" w:lastRowLastColumn="0"/>
          <w:trHeight w:val="288"/>
        </w:trPr>
        <w:tc>
          <w:tcPr>
            <w:tcW w:w="3740" w:type="dxa"/>
          </w:tcPr>
          <w:p w:rsidR="00AB4FFA" w:rsidRPr="00396C98" w:rsidRDefault="00AB4FFA" w:rsidP="00563642">
            <w:pPr>
              <w:spacing w:after="0"/>
              <w:rPr>
                <w:rFonts w:asciiTheme="minorHAnsi" w:hAnsiTheme="minorHAnsi" w:cstheme="minorHAnsi"/>
                <w:b/>
                <w:color w:val="000000"/>
                <w:sz w:val="18"/>
                <w:szCs w:val="18"/>
              </w:rPr>
            </w:pPr>
            <w:r w:rsidRPr="00396C98">
              <w:rPr>
                <w:rFonts w:asciiTheme="minorHAnsi" w:hAnsiTheme="minorHAnsi" w:cstheme="minorHAnsi"/>
                <w:color w:val="000000"/>
                <w:sz w:val="18"/>
                <w:szCs w:val="18"/>
              </w:rPr>
              <w:t>Ischemic heart disease</w:t>
            </w:r>
          </w:p>
        </w:tc>
        <w:tc>
          <w:tcPr>
            <w:tcW w:w="1125" w:type="dxa"/>
          </w:tcPr>
          <w:p w:rsidR="00AB4FFA" w:rsidRPr="00396C98" w:rsidRDefault="00AB4FFA" w:rsidP="00563642">
            <w:pPr>
              <w:spacing w:after="0"/>
              <w:jc w:val="right"/>
              <w:rPr>
                <w:rFonts w:asciiTheme="minorHAnsi" w:hAnsiTheme="minorHAnsi" w:cstheme="minorHAnsi"/>
                <w:sz w:val="18"/>
                <w:szCs w:val="18"/>
              </w:rPr>
            </w:pPr>
            <w:r w:rsidRPr="00396C98">
              <w:rPr>
                <w:rFonts w:asciiTheme="minorHAnsi" w:hAnsiTheme="minorHAnsi" w:cstheme="minorHAnsi"/>
                <w:sz w:val="18"/>
                <w:szCs w:val="18"/>
              </w:rPr>
              <w:t>0.13013</w:t>
            </w:r>
          </w:p>
        </w:tc>
        <w:tc>
          <w:tcPr>
            <w:tcW w:w="2189" w:type="dxa"/>
          </w:tcPr>
          <w:p w:rsidR="00AB4FFA" w:rsidRPr="00396C98" w:rsidRDefault="00AB4FFA" w:rsidP="00563642">
            <w:pPr>
              <w:spacing w:after="0"/>
              <w:jc w:val="center"/>
              <w:rPr>
                <w:rFonts w:asciiTheme="minorHAnsi" w:hAnsiTheme="minorHAnsi" w:cstheme="minorHAnsi"/>
                <w:color w:val="000000"/>
                <w:sz w:val="18"/>
                <w:szCs w:val="18"/>
              </w:rPr>
            </w:pPr>
            <w:r w:rsidRPr="00396C98">
              <w:rPr>
                <w:rFonts w:asciiTheme="minorHAnsi" w:hAnsiTheme="minorHAnsi" w:cstheme="minorHAnsi"/>
                <w:color w:val="000000"/>
                <w:sz w:val="18"/>
                <w:szCs w:val="18"/>
              </w:rPr>
              <w:t>2.8</w:t>
            </w:r>
          </w:p>
        </w:tc>
        <w:tc>
          <w:tcPr>
            <w:tcW w:w="2126" w:type="dxa"/>
            <w:noWrap/>
            <w:hideMark/>
          </w:tcPr>
          <w:p w:rsidR="00AB4FFA" w:rsidRPr="00396C98" w:rsidRDefault="00AB4FFA" w:rsidP="00563642">
            <w:pPr>
              <w:spacing w:after="0"/>
              <w:jc w:val="center"/>
              <w:rPr>
                <w:rFonts w:asciiTheme="minorHAnsi" w:hAnsiTheme="minorHAnsi" w:cstheme="minorHAnsi"/>
                <w:color w:val="000000"/>
                <w:sz w:val="18"/>
                <w:szCs w:val="18"/>
              </w:rPr>
            </w:pPr>
            <w:r w:rsidRPr="00396C98">
              <w:rPr>
                <w:rFonts w:asciiTheme="minorHAnsi" w:hAnsiTheme="minorHAnsi" w:cstheme="minorHAnsi"/>
                <w:color w:val="000000"/>
                <w:sz w:val="18"/>
                <w:szCs w:val="18"/>
              </w:rPr>
              <w:t>6.8</w:t>
            </w:r>
          </w:p>
        </w:tc>
      </w:tr>
      <w:tr w:rsidR="00AB4FFA" w:rsidRPr="00D876EE" w:rsidTr="0088478C">
        <w:trPr>
          <w:trHeight w:val="288"/>
        </w:trPr>
        <w:tc>
          <w:tcPr>
            <w:tcW w:w="3740" w:type="dxa"/>
          </w:tcPr>
          <w:p w:rsidR="00AB4FFA" w:rsidRPr="00396C98" w:rsidRDefault="00AB4FFA" w:rsidP="00563642">
            <w:pPr>
              <w:spacing w:after="0"/>
              <w:rPr>
                <w:rFonts w:asciiTheme="minorHAnsi" w:hAnsiTheme="minorHAnsi" w:cstheme="minorHAnsi"/>
                <w:b/>
                <w:color w:val="000000"/>
                <w:sz w:val="18"/>
                <w:szCs w:val="18"/>
              </w:rPr>
            </w:pPr>
            <w:r w:rsidRPr="00396C98">
              <w:rPr>
                <w:rFonts w:asciiTheme="minorHAnsi" w:hAnsiTheme="minorHAnsi" w:cstheme="minorHAnsi"/>
                <w:color w:val="000000"/>
                <w:sz w:val="18"/>
                <w:szCs w:val="18"/>
              </w:rPr>
              <w:t>Ischemic stroke</w:t>
            </w:r>
          </w:p>
        </w:tc>
        <w:tc>
          <w:tcPr>
            <w:tcW w:w="1125" w:type="dxa"/>
          </w:tcPr>
          <w:p w:rsidR="00AB4FFA" w:rsidRPr="00396C98" w:rsidRDefault="00AB4FFA" w:rsidP="00563642">
            <w:pPr>
              <w:spacing w:after="0"/>
              <w:jc w:val="right"/>
              <w:rPr>
                <w:rFonts w:asciiTheme="minorHAnsi" w:hAnsiTheme="minorHAnsi" w:cstheme="minorHAnsi"/>
                <w:sz w:val="18"/>
                <w:szCs w:val="18"/>
              </w:rPr>
            </w:pPr>
            <w:r w:rsidRPr="00396C98">
              <w:rPr>
                <w:rFonts w:asciiTheme="minorHAnsi" w:hAnsiTheme="minorHAnsi" w:cstheme="minorHAnsi"/>
                <w:sz w:val="18"/>
                <w:szCs w:val="18"/>
              </w:rPr>
              <w:t>0.30300</w:t>
            </w:r>
          </w:p>
        </w:tc>
        <w:tc>
          <w:tcPr>
            <w:tcW w:w="2189" w:type="dxa"/>
          </w:tcPr>
          <w:p w:rsidR="00AB4FFA" w:rsidRPr="00396C98" w:rsidRDefault="00AB4FFA" w:rsidP="00563642">
            <w:pPr>
              <w:spacing w:after="0"/>
              <w:jc w:val="center"/>
              <w:rPr>
                <w:rFonts w:asciiTheme="minorHAnsi" w:hAnsiTheme="minorHAnsi" w:cstheme="minorHAnsi"/>
                <w:color w:val="000000"/>
                <w:sz w:val="18"/>
                <w:szCs w:val="18"/>
              </w:rPr>
            </w:pPr>
            <w:r w:rsidRPr="00396C98">
              <w:rPr>
                <w:rFonts w:asciiTheme="minorHAnsi" w:hAnsiTheme="minorHAnsi" w:cstheme="minorHAnsi"/>
                <w:color w:val="000000"/>
                <w:sz w:val="18"/>
                <w:szCs w:val="18"/>
              </w:rPr>
              <w:t>2.8</w:t>
            </w:r>
          </w:p>
        </w:tc>
        <w:tc>
          <w:tcPr>
            <w:tcW w:w="2126" w:type="dxa"/>
            <w:noWrap/>
            <w:hideMark/>
          </w:tcPr>
          <w:p w:rsidR="00AB4FFA" w:rsidRPr="00396C98" w:rsidRDefault="00AB4FFA" w:rsidP="00563642">
            <w:pPr>
              <w:spacing w:after="0"/>
              <w:jc w:val="center"/>
              <w:rPr>
                <w:rFonts w:asciiTheme="minorHAnsi" w:hAnsiTheme="minorHAnsi" w:cstheme="minorHAnsi"/>
                <w:color w:val="000000"/>
                <w:sz w:val="18"/>
                <w:szCs w:val="18"/>
              </w:rPr>
            </w:pPr>
            <w:r w:rsidRPr="00396C98">
              <w:rPr>
                <w:rFonts w:asciiTheme="minorHAnsi" w:hAnsiTheme="minorHAnsi" w:cstheme="minorHAnsi"/>
                <w:color w:val="000000"/>
                <w:sz w:val="18"/>
                <w:szCs w:val="18"/>
              </w:rPr>
              <w:t>6.8</w:t>
            </w:r>
          </w:p>
        </w:tc>
      </w:tr>
      <w:tr w:rsidR="00AB4FFA" w:rsidRPr="00D876EE" w:rsidTr="0088478C">
        <w:trPr>
          <w:cnfStyle w:val="000000100000" w:firstRow="0" w:lastRow="0" w:firstColumn="0" w:lastColumn="0" w:oddVBand="0" w:evenVBand="0" w:oddHBand="1" w:evenHBand="0" w:firstRowFirstColumn="0" w:firstRowLastColumn="0" w:lastRowFirstColumn="0" w:lastRowLastColumn="0"/>
          <w:trHeight w:val="288"/>
        </w:trPr>
        <w:tc>
          <w:tcPr>
            <w:tcW w:w="3740" w:type="dxa"/>
          </w:tcPr>
          <w:p w:rsidR="00AB4FFA" w:rsidRPr="00396C98" w:rsidRDefault="00563642" w:rsidP="00563642">
            <w:pPr>
              <w:spacing w:after="0"/>
              <w:rPr>
                <w:rFonts w:asciiTheme="minorHAnsi" w:hAnsiTheme="minorHAnsi" w:cstheme="minorHAnsi"/>
                <w:b/>
                <w:color w:val="000000"/>
                <w:sz w:val="18"/>
                <w:szCs w:val="18"/>
              </w:rPr>
            </w:pPr>
            <w:r w:rsidRPr="00563642">
              <w:rPr>
                <w:rFonts w:asciiTheme="minorHAnsi" w:hAnsiTheme="minorHAnsi" w:cstheme="minorHAnsi"/>
                <w:color w:val="000000"/>
                <w:sz w:val="18"/>
                <w:szCs w:val="18"/>
              </w:rPr>
              <w:t>Haemorrhagic</w:t>
            </w:r>
            <w:r w:rsidR="00AB4FFA" w:rsidRPr="00396C98">
              <w:rPr>
                <w:rFonts w:asciiTheme="minorHAnsi" w:hAnsiTheme="minorHAnsi" w:cstheme="minorHAnsi"/>
                <w:color w:val="000000"/>
                <w:sz w:val="18"/>
                <w:szCs w:val="18"/>
              </w:rPr>
              <w:t xml:space="preserve"> and other non-ischemic stroke</w:t>
            </w:r>
          </w:p>
        </w:tc>
        <w:tc>
          <w:tcPr>
            <w:tcW w:w="1125" w:type="dxa"/>
          </w:tcPr>
          <w:p w:rsidR="00AB4FFA" w:rsidRPr="00396C98" w:rsidRDefault="00AB4FFA" w:rsidP="00563642">
            <w:pPr>
              <w:spacing w:after="0"/>
              <w:jc w:val="right"/>
              <w:rPr>
                <w:rFonts w:asciiTheme="minorHAnsi" w:hAnsiTheme="minorHAnsi" w:cstheme="minorHAnsi"/>
                <w:sz w:val="18"/>
                <w:szCs w:val="18"/>
              </w:rPr>
            </w:pPr>
            <w:r w:rsidRPr="00396C98">
              <w:rPr>
                <w:rFonts w:asciiTheme="minorHAnsi" w:hAnsiTheme="minorHAnsi" w:cstheme="minorHAnsi"/>
                <w:sz w:val="18"/>
                <w:szCs w:val="18"/>
              </w:rPr>
              <w:t>0.30300</w:t>
            </w:r>
          </w:p>
        </w:tc>
        <w:tc>
          <w:tcPr>
            <w:tcW w:w="2189" w:type="dxa"/>
          </w:tcPr>
          <w:p w:rsidR="00AB4FFA" w:rsidRPr="00396C98" w:rsidRDefault="00AB4FFA" w:rsidP="00563642">
            <w:pPr>
              <w:spacing w:after="0"/>
              <w:jc w:val="center"/>
              <w:rPr>
                <w:rFonts w:asciiTheme="minorHAnsi" w:hAnsiTheme="minorHAnsi" w:cstheme="minorHAnsi"/>
                <w:color w:val="000000"/>
                <w:sz w:val="18"/>
                <w:szCs w:val="18"/>
              </w:rPr>
            </w:pPr>
            <w:r w:rsidRPr="00396C98">
              <w:rPr>
                <w:rFonts w:asciiTheme="minorHAnsi" w:hAnsiTheme="minorHAnsi" w:cstheme="minorHAnsi"/>
                <w:color w:val="000000"/>
                <w:sz w:val="18"/>
                <w:szCs w:val="18"/>
              </w:rPr>
              <w:t>2.8</w:t>
            </w:r>
          </w:p>
        </w:tc>
        <w:tc>
          <w:tcPr>
            <w:tcW w:w="2126" w:type="dxa"/>
            <w:noWrap/>
            <w:hideMark/>
          </w:tcPr>
          <w:p w:rsidR="00AB4FFA" w:rsidRPr="00396C98" w:rsidRDefault="00AB4FFA" w:rsidP="00563642">
            <w:pPr>
              <w:spacing w:after="0"/>
              <w:jc w:val="center"/>
              <w:rPr>
                <w:rFonts w:asciiTheme="minorHAnsi" w:hAnsiTheme="minorHAnsi" w:cstheme="minorHAnsi"/>
                <w:color w:val="000000"/>
                <w:sz w:val="18"/>
                <w:szCs w:val="18"/>
              </w:rPr>
            </w:pPr>
            <w:r w:rsidRPr="00396C98">
              <w:rPr>
                <w:rFonts w:asciiTheme="minorHAnsi" w:hAnsiTheme="minorHAnsi" w:cstheme="minorHAnsi"/>
                <w:color w:val="000000"/>
                <w:sz w:val="18"/>
                <w:szCs w:val="18"/>
              </w:rPr>
              <w:t>6.8</w:t>
            </w:r>
          </w:p>
        </w:tc>
      </w:tr>
      <w:tr w:rsidR="00AB4FFA" w:rsidRPr="00D876EE" w:rsidTr="0088478C">
        <w:trPr>
          <w:trHeight w:val="288"/>
        </w:trPr>
        <w:tc>
          <w:tcPr>
            <w:tcW w:w="3740" w:type="dxa"/>
          </w:tcPr>
          <w:p w:rsidR="00AB4FFA" w:rsidRPr="00396C98" w:rsidRDefault="00AB4FFA" w:rsidP="00563642">
            <w:pPr>
              <w:spacing w:after="0"/>
              <w:rPr>
                <w:rFonts w:asciiTheme="minorHAnsi" w:hAnsiTheme="minorHAnsi" w:cstheme="minorHAnsi"/>
                <w:b/>
                <w:color w:val="000000"/>
                <w:sz w:val="18"/>
                <w:szCs w:val="18"/>
              </w:rPr>
            </w:pPr>
            <w:r w:rsidRPr="00396C98">
              <w:rPr>
                <w:rFonts w:asciiTheme="minorHAnsi" w:hAnsiTheme="minorHAnsi" w:cstheme="minorHAnsi"/>
                <w:color w:val="000000"/>
                <w:sz w:val="18"/>
                <w:szCs w:val="18"/>
              </w:rPr>
              <w:t>Diabetes mellitus</w:t>
            </w:r>
          </w:p>
        </w:tc>
        <w:tc>
          <w:tcPr>
            <w:tcW w:w="1125" w:type="dxa"/>
          </w:tcPr>
          <w:p w:rsidR="00AB4FFA" w:rsidRPr="00396C98" w:rsidRDefault="00AB4FFA" w:rsidP="00563642">
            <w:pPr>
              <w:spacing w:after="0"/>
              <w:jc w:val="right"/>
              <w:rPr>
                <w:rFonts w:asciiTheme="minorHAnsi" w:hAnsiTheme="minorHAnsi" w:cstheme="minorHAnsi"/>
                <w:sz w:val="18"/>
                <w:szCs w:val="18"/>
              </w:rPr>
            </w:pPr>
            <w:r w:rsidRPr="00396C98">
              <w:rPr>
                <w:rFonts w:asciiTheme="minorHAnsi" w:hAnsiTheme="minorHAnsi" w:cstheme="minorHAnsi"/>
                <w:sz w:val="18"/>
                <w:szCs w:val="18"/>
              </w:rPr>
              <w:t>0.09463</w:t>
            </w:r>
          </w:p>
        </w:tc>
        <w:tc>
          <w:tcPr>
            <w:tcW w:w="2189" w:type="dxa"/>
          </w:tcPr>
          <w:p w:rsidR="00AB4FFA" w:rsidRPr="00396C98" w:rsidRDefault="00AB4FFA" w:rsidP="00563642">
            <w:pPr>
              <w:spacing w:after="0"/>
              <w:jc w:val="center"/>
              <w:rPr>
                <w:rFonts w:asciiTheme="minorHAnsi" w:hAnsiTheme="minorHAnsi" w:cstheme="minorHAnsi"/>
                <w:color w:val="000000"/>
                <w:sz w:val="18"/>
                <w:szCs w:val="18"/>
              </w:rPr>
            </w:pPr>
            <w:r w:rsidRPr="00396C98">
              <w:rPr>
                <w:rFonts w:asciiTheme="minorHAnsi" w:hAnsiTheme="minorHAnsi" w:cstheme="minorHAnsi"/>
                <w:color w:val="000000"/>
                <w:sz w:val="18"/>
                <w:szCs w:val="18"/>
              </w:rPr>
              <w:t>0.8</w:t>
            </w:r>
          </w:p>
        </w:tc>
        <w:tc>
          <w:tcPr>
            <w:tcW w:w="2126" w:type="dxa"/>
            <w:noWrap/>
            <w:hideMark/>
          </w:tcPr>
          <w:p w:rsidR="00AB4FFA" w:rsidRPr="00396C98" w:rsidRDefault="00AB4FFA" w:rsidP="00563642">
            <w:pPr>
              <w:spacing w:after="0"/>
              <w:jc w:val="center"/>
              <w:rPr>
                <w:rFonts w:asciiTheme="minorHAnsi" w:hAnsiTheme="minorHAnsi" w:cstheme="minorHAnsi"/>
                <w:color w:val="000000"/>
                <w:sz w:val="18"/>
                <w:szCs w:val="18"/>
              </w:rPr>
            </w:pPr>
            <w:r w:rsidRPr="00396C98">
              <w:rPr>
                <w:rFonts w:asciiTheme="minorHAnsi" w:hAnsiTheme="minorHAnsi" w:cstheme="minorHAnsi"/>
                <w:color w:val="000000"/>
                <w:sz w:val="18"/>
                <w:szCs w:val="18"/>
              </w:rPr>
              <w:t>11.4</w:t>
            </w:r>
          </w:p>
        </w:tc>
      </w:tr>
      <w:tr w:rsidR="00AB4FFA" w:rsidRPr="00D876EE" w:rsidTr="0088478C">
        <w:trPr>
          <w:cnfStyle w:val="000000100000" w:firstRow="0" w:lastRow="0" w:firstColumn="0" w:lastColumn="0" w:oddVBand="0" w:evenVBand="0" w:oddHBand="1" w:evenHBand="0" w:firstRowFirstColumn="0" w:firstRowLastColumn="0" w:lastRowFirstColumn="0" w:lastRowLastColumn="0"/>
          <w:trHeight w:val="288"/>
        </w:trPr>
        <w:tc>
          <w:tcPr>
            <w:tcW w:w="3740" w:type="dxa"/>
          </w:tcPr>
          <w:p w:rsidR="00AB4FFA" w:rsidRPr="00396C98" w:rsidRDefault="00AB4FFA" w:rsidP="00563642">
            <w:pPr>
              <w:spacing w:after="0"/>
              <w:rPr>
                <w:rFonts w:asciiTheme="minorHAnsi" w:hAnsiTheme="minorHAnsi" w:cstheme="minorHAnsi"/>
                <w:b/>
                <w:color w:val="000000"/>
                <w:sz w:val="18"/>
                <w:szCs w:val="18"/>
              </w:rPr>
            </w:pPr>
            <w:r w:rsidRPr="00396C98">
              <w:rPr>
                <w:rFonts w:asciiTheme="minorHAnsi" w:hAnsiTheme="minorHAnsi" w:cstheme="minorHAnsi"/>
                <w:color w:val="000000"/>
                <w:sz w:val="18"/>
                <w:szCs w:val="18"/>
              </w:rPr>
              <w:t>Chronic obstructive pulmonary disease</w:t>
            </w:r>
          </w:p>
        </w:tc>
        <w:tc>
          <w:tcPr>
            <w:tcW w:w="1125" w:type="dxa"/>
          </w:tcPr>
          <w:p w:rsidR="00AB4FFA" w:rsidRPr="00396C98" w:rsidRDefault="00AB4FFA" w:rsidP="00563642">
            <w:pPr>
              <w:spacing w:after="0"/>
              <w:jc w:val="right"/>
              <w:rPr>
                <w:rFonts w:asciiTheme="minorHAnsi" w:hAnsiTheme="minorHAnsi" w:cstheme="minorHAnsi"/>
                <w:sz w:val="18"/>
                <w:szCs w:val="18"/>
              </w:rPr>
            </w:pPr>
            <w:r w:rsidRPr="00396C98">
              <w:rPr>
                <w:rFonts w:asciiTheme="minorHAnsi" w:hAnsiTheme="minorHAnsi" w:cstheme="minorHAnsi"/>
                <w:sz w:val="18"/>
                <w:szCs w:val="18"/>
              </w:rPr>
              <w:t>0.19667</w:t>
            </w:r>
          </w:p>
        </w:tc>
        <w:tc>
          <w:tcPr>
            <w:tcW w:w="2189" w:type="dxa"/>
          </w:tcPr>
          <w:p w:rsidR="00AB4FFA" w:rsidRPr="00396C98" w:rsidRDefault="00AB4FFA" w:rsidP="00563642">
            <w:pPr>
              <w:spacing w:after="0"/>
              <w:jc w:val="center"/>
              <w:rPr>
                <w:rFonts w:asciiTheme="minorHAnsi" w:hAnsiTheme="minorHAnsi" w:cstheme="minorHAnsi"/>
                <w:color w:val="000000"/>
                <w:sz w:val="18"/>
                <w:szCs w:val="18"/>
              </w:rPr>
            </w:pPr>
            <w:r w:rsidRPr="00396C98">
              <w:rPr>
                <w:rFonts w:asciiTheme="minorHAnsi" w:hAnsiTheme="minorHAnsi" w:cstheme="minorHAnsi"/>
                <w:color w:val="000000"/>
                <w:sz w:val="18"/>
                <w:szCs w:val="18"/>
              </w:rPr>
              <w:t>6.1</w:t>
            </w:r>
          </w:p>
        </w:tc>
        <w:tc>
          <w:tcPr>
            <w:tcW w:w="2126" w:type="dxa"/>
            <w:noWrap/>
            <w:hideMark/>
          </w:tcPr>
          <w:p w:rsidR="00AB4FFA" w:rsidRPr="00396C98" w:rsidRDefault="00AB4FFA" w:rsidP="00563642">
            <w:pPr>
              <w:spacing w:after="0"/>
              <w:jc w:val="center"/>
              <w:rPr>
                <w:rFonts w:asciiTheme="minorHAnsi" w:hAnsiTheme="minorHAnsi" w:cstheme="minorHAnsi"/>
                <w:color w:val="000000"/>
                <w:sz w:val="18"/>
                <w:szCs w:val="18"/>
              </w:rPr>
            </w:pPr>
            <w:r w:rsidRPr="00396C98">
              <w:rPr>
                <w:rFonts w:asciiTheme="minorHAnsi" w:hAnsiTheme="minorHAnsi" w:cstheme="minorHAnsi"/>
                <w:color w:val="000000"/>
                <w:sz w:val="18"/>
                <w:szCs w:val="18"/>
              </w:rPr>
              <w:t>17.2</w:t>
            </w:r>
          </w:p>
        </w:tc>
      </w:tr>
      <w:tr w:rsidR="00AB4FFA" w:rsidRPr="00D876EE" w:rsidTr="0088478C">
        <w:trPr>
          <w:trHeight w:val="288"/>
        </w:trPr>
        <w:tc>
          <w:tcPr>
            <w:tcW w:w="3740" w:type="dxa"/>
          </w:tcPr>
          <w:p w:rsidR="00AB4FFA" w:rsidRPr="00396C98" w:rsidRDefault="00AB4FFA" w:rsidP="00563642">
            <w:pPr>
              <w:spacing w:after="0"/>
              <w:rPr>
                <w:rFonts w:asciiTheme="minorHAnsi" w:hAnsiTheme="minorHAnsi" w:cstheme="minorHAnsi"/>
                <w:b/>
                <w:color w:val="000000"/>
                <w:sz w:val="18"/>
                <w:szCs w:val="18"/>
              </w:rPr>
            </w:pPr>
            <w:r w:rsidRPr="00396C98">
              <w:rPr>
                <w:rFonts w:asciiTheme="minorHAnsi" w:hAnsiTheme="minorHAnsi" w:cstheme="minorHAnsi"/>
                <w:color w:val="000000"/>
                <w:sz w:val="18"/>
                <w:szCs w:val="18"/>
              </w:rPr>
              <w:t>Asthma</w:t>
            </w:r>
          </w:p>
        </w:tc>
        <w:tc>
          <w:tcPr>
            <w:tcW w:w="1125" w:type="dxa"/>
          </w:tcPr>
          <w:p w:rsidR="00AB4FFA" w:rsidRPr="00396C98" w:rsidRDefault="00AB4FFA" w:rsidP="00563642">
            <w:pPr>
              <w:spacing w:after="0"/>
              <w:jc w:val="right"/>
              <w:rPr>
                <w:rFonts w:asciiTheme="minorHAnsi" w:hAnsiTheme="minorHAnsi" w:cstheme="minorHAnsi"/>
                <w:sz w:val="18"/>
                <w:szCs w:val="18"/>
              </w:rPr>
            </w:pPr>
            <w:r w:rsidRPr="00396C98">
              <w:rPr>
                <w:rFonts w:asciiTheme="minorHAnsi" w:hAnsiTheme="minorHAnsi" w:cstheme="minorHAnsi"/>
                <w:sz w:val="18"/>
                <w:szCs w:val="18"/>
              </w:rPr>
              <w:t>0.05600</w:t>
            </w:r>
          </w:p>
        </w:tc>
        <w:tc>
          <w:tcPr>
            <w:tcW w:w="2189" w:type="dxa"/>
          </w:tcPr>
          <w:p w:rsidR="00AB4FFA" w:rsidRPr="00396C98" w:rsidRDefault="00AB4FFA" w:rsidP="00563642">
            <w:pPr>
              <w:spacing w:after="0"/>
              <w:jc w:val="center"/>
              <w:rPr>
                <w:rFonts w:asciiTheme="minorHAnsi" w:hAnsiTheme="minorHAnsi" w:cstheme="minorHAnsi"/>
                <w:color w:val="000000"/>
                <w:sz w:val="18"/>
                <w:szCs w:val="18"/>
              </w:rPr>
            </w:pPr>
            <w:r w:rsidRPr="00396C98">
              <w:rPr>
                <w:rFonts w:asciiTheme="minorHAnsi" w:hAnsiTheme="minorHAnsi" w:cstheme="minorHAnsi"/>
                <w:color w:val="000000"/>
                <w:sz w:val="18"/>
                <w:szCs w:val="18"/>
              </w:rPr>
              <w:t>5.0</w:t>
            </w:r>
          </w:p>
        </w:tc>
        <w:tc>
          <w:tcPr>
            <w:tcW w:w="2126" w:type="dxa"/>
            <w:noWrap/>
            <w:hideMark/>
          </w:tcPr>
          <w:p w:rsidR="00AB4FFA" w:rsidRPr="00396C98" w:rsidRDefault="00AB4FFA" w:rsidP="00563642">
            <w:pPr>
              <w:spacing w:after="0"/>
              <w:jc w:val="center"/>
              <w:rPr>
                <w:rFonts w:asciiTheme="minorHAnsi" w:hAnsiTheme="minorHAnsi" w:cstheme="minorHAnsi"/>
                <w:color w:val="000000"/>
                <w:sz w:val="18"/>
                <w:szCs w:val="18"/>
              </w:rPr>
            </w:pPr>
            <w:r w:rsidRPr="00396C98">
              <w:rPr>
                <w:rFonts w:asciiTheme="minorHAnsi" w:hAnsiTheme="minorHAnsi" w:cstheme="minorHAnsi"/>
                <w:color w:val="000000"/>
                <w:sz w:val="18"/>
                <w:szCs w:val="18"/>
              </w:rPr>
              <w:t>11.0</w:t>
            </w:r>
          </w:p>
        </w:tc>
      </w:tr>
      <w:tr w:rsidR="00AB4FFA" w:rsidRPr="00D876EE" w:rsidTr="0088478C">
        <w:trPr>
          <w:cnfStyle w:val="000000100000" w:firstRow="0" w:lastRow="0" w:firstColumn="0" w:lastColumn="0" w:oddVBand="0" w:evenVBand="0" w:oddHBand="1" w:evenHBand="0" w:firstRowFirstColumn="0" w:firstRowLastColumn="0" w:lastRowFirstColumn="0" w:lastRowLastColumn="0"/>
          <w:trHeight w:val="288"/>
        </w:trPr>
        <w:tc>
          <w:tcPr>
            <w:tcW w:w="3740" w:type="dxa"/>
          </w:tcPr>
          <w:p w:rsidR="00AB4FFA" w:rsidRPr="00396C98" w:rsidRDefault="00AB4FFA" w:rsidP="00563642">
            <w:pPr>
              <w:spacing w:after="0"/>
              <w:rPr>
                <w:rFonts w:asciiTheme="minorHAnsi" w:hAnsiTheme="minorHAnsi" w:cstheme="minorHAnsi"/>
                <w:b/>
                <w:color w:val="000000"/>
                <w:sz w:val="18"/>
                <w:szCs w:val="18"/>
              </w:rPr>
            </w:pPr>
            <w:r w:rsidRPr="00396C98">
              <w:rPr>
                <w:rFonts w:asciiTheme="minorHAnsi" w:hAnsiTheme="minorHAnsi" w:cstheme="minorHAnsi"/>
                <w:color w:val="000000"/>
                <w:sz w:val="18"/>
                <w:szCs w:val="18"/>
              </w:rPr>
              <w:t>Migraine</w:t>
            </w:r>
          </w:p>
        </w:tc>
        <w:tc>
          <w:tcPr>
            <w:tcW w:w="1125" w:type="dxa"/>
          </w:tcPr>
          <w:p w:rsidR="00AB4FFA" w:rsidRPr="00396C98" w:rsidRDefault="00AB4FFA" w:rsidP="00563642">
            <w:pPr>
              <w:spacing w:after="0"/>
              <w:jc w:val="right"/>
              <w:rPr>
                <w:rFonts w:asciiTheme="minorHAnsi" w:hAnsiTheme="minorHAnsi" w:cstheme="minorHAnsi"/>
                <w:sz w:val="18"/>
                <w:szCs w:val="18"/>
              </w:rPr>
            </w:pPr>
            <w:r w:rsidRPr="00396C98">
              <w:rPr>
                <w:rFonts w:asciiTheme="minorHAnsi" w:hAnsiTheme="minorHAnsi" w:cstheme="minorHAnsi"/>
                <w:sz w:val="18"/>
                <w:szCs w:val="18"/>
              </w:rPr>
              <w:t>0.43300</w:t>
            </w:r>
          </w:p>
        </w:tc>
        <w:tc>
          <w:tcPr>
            <w:tcW w:w="2189" w:type="dxa"/>
          </w:tcPr>
          <w:p w:rsidR="00AB4FFA" w:rsidRPr="00396C98" w:rsidRDefault="00AB4FFA" w:rsidP="00563642">
            <w:pPr>
              <w:spacing w:after="0"/>
              <w:jc w:val="center"/>
              <w:rPr>
                <w:rFonts w:asciiTheme="minorHAnsi" w:hAnsiTheme="minorHAnsi" w:cstheme="minorHAnsi"/>
                <w:color w:val="000000"/>
                <w:sz w:val="18"/>
                <w:szCs w:val="18"/>
              </w:rPr>
            </w:pPr>
            <w:r w:rsidRPr="00396C98">
              <w:rPr>
                <w:rFonts w:asciiTheme="minorHAnsi" w:hAnsiTheme="minorHAnsi" w:cstheme="minorHAnsi"/>
                <w:color w:val="000000"/>
                <w:sz w:val="18"/>
                <w:szCs w:val="18"/>
              </w:rPr>
              <w:t>4.5</w:t>
            </w:r>
          </w:p>
        </w:tc>
        <w:tc>
          <w:tcPr>
            <w:tcW w:w="2126" w:type="dxa"/>
            <w:noWrap/>
            <w:hideMark/>
          </w:tcPr>
          <w:p w:rsidR="00AB4FFA" w:rsidRPr="00396C98" w:rsidRDefault="00AB4FFA" w:rsidP="00563642">
            <w:pPr>
              <w:spacing w:after="0"/>
              <w:jc w:val="center"/>
              <w:rPr>
                <w:rFonts w:asciiTheme="minorHAnsi" w:hAnsiTheme="minorHAnsi" w:cstheme="minorHAnsi"/>
                <w:color w:val="000000"/>
                <w:sz w:val="18"/>
                <w:szCs w:val="18"/>
              </w:rPr>
            </w:pPr>
            <w:r w:rsidRPr="00396C98">
              <w:rPr>
                <w:rFonts w:asciiTheme="minorHAnsi" w:hAnsiTheme="minorHAnsi" w:cstheme="minorHAnsi"/>
                <w:color w:val="000000"/>
                <w:sz w:val="18"/>
                <w:szCs w:val="18"/>
              </w:rPr>
              <w:t>20.5</w:t>
            </w:r>
          </w:p>
        </w:tc>
      </w:tr>
      <w:tr w:rsidR="00AB4FFA" w:rsidRPr="00D876EE" w:rsidTr="0088478C">
        <w:trPr>
          <w:trHeight w:val="288"/>
        </w:trPr>
        <w:tc>
          <w:tcPr>
            <w:tcW w:w="3740" w:type="dxa"/>
          </w:tcPr>
          <w:p w:rsidR="00AB4FFA" w:rsidRPr="00396C98" w:rsidRDefault="00AB4FFA" w:rsidP="00563642">
            <w:pPr>
              <w:spacing w:after="0"/>
              <w:rPr>
                <w:rFonts w:asciiTheme="minorHAnsi" w:hAnsiTheme="minorHAnsi" w:cstheme="minorHAnsi"/>
                <w:b/>
                <w:color w:val="000000"/>
                <w:sz w:val="18"/>
                <w:szCs w:val="18"/>
              </w:rPr>
            </w:pPr>
            <w:r w:rsidRPr="00396C98">
              <w:rPr>
                <w:rFonts w:asciiTheme="minorHAnsi" w:hAnsiTheme="minorHAnsi" w:cstheme="minorHAnsi"/>
                <w:color w:val="000000"/>
                <w:sz w:val="18"/>
                <w:szCs w:val="18"/>
              </w:rPr>
              <w:t>Tension-type headache</w:t>
            </w:r>
          </w:p>
        </w:tc>
        <w:tc>
          <w:tcPr>
            <w:tcW w:w="1125" w:type="dxa"/>
          </w:tcPr>
          <w:p w:rsidR="00AB4FFA" w:rsidRPr="00396C98" w:rsidRDefault="00AB4FFA" w:rsidP="00563642">
            <w:pPr>
              <w:spacing w:after="0"/>
              <w:jc w:val="right"/>
              <w:rPr>
                <w:rFonts w:asciiTheme="minorHAnsi" w:hAnsiTheme="minorHAnsi" w:cstheme="minorHAnsi"/>
                <w:sz w:val="18"/>
                <w:szCs w:val="18"/>
              </w:rPr>
            </w:pPr>
            <w:r w:rsidRPr="00396C98">
              <w:rPr>
                <w:rFonts w:asciiTheme="minorHAnsi" w:hAnsiTheme="minorHAnsi" w:cstheme="minorHAnsi"/>
                <w:sz w:val="18"/>
                <w:szCs w:val="18"/>
              </w:rPr>
              <w:t>0.04000</w:t>
            </w:r>
          </w:p>
        </w:tc>
        <w:tc>
          <w:tcPr>
            <w:tcW w:w="2189" w:type="dxa"/>
          </w:tcPr>
          <w:p w:rsidR="00AB4FFA" w:rsidRPr="00396C98" w:rsidRDefault="00AB4FFA" w:rsidP="00563642">
            <w:pPr>
              <w:spacing w:after="0"/>
              <w:jc w:val="center"/>
              <w:rPr>
                <w:rFonts w:asciiTheme="minorHAnsi" w:hAnsiTheme="minorHAnsi" w:cstheme="minorHAnsi"/>
                <w:color w:val="000000"/>
                <w:sz w:val="18"/>
                <w:szCs w:val="18"/>
              </w:rPr>
            </w:pPr>
            <w:r w:rsidRPr="00396C98">
              <w:rPr>
                <w:rFonts w:asciiTheme="minorHAnsi" w:hAnsiTheme="minorHAnsi" w:cstheme="minorHAnsi"/>
                <w:color w:val="000000"/>
                <w:sz w:val="18"/>
                <w:szCs w:val="18"/>
              </w:rPr>
              <w:t>4.5</w:t>
            </w:r>
          </w:p>
        </w:tc>
        <w:tc>
          <w:tcPr>
            <w:tcW w:w="2126" w:type="dxa"/>
            <w:noWrap/>
            <w:hideMark/>
          </w:tcPr>
          <w:p w:rsidR="00AB4FFA" w:rsidRPr="00396C98" w:rsidRDefault="00AB4FFA" w:rsidP="00563642">
            <w:pPr>
              <w:spacing w:after="0"/>
              <w:jc w:val="center"/>
              <w:rPr>
                <w:rFonts w:asciiTheme="minorHAnsi" w:hAnsiTheme="minorHAnsi" w:cstheme="minorHAnsi"/>
                <w:color w:val="000000"/>
                <w:sz w:val="18"/>
                <w:szCs w:val="18"/>
              </w:rPr>
            </w:pPr>
            <w:r w:rsidRPr="00396C98">
              <w:rPr>
                <w:rFonts w:asciiTheme="minorHAnsi" w:hAnsiTheme="minorHAnsi" w:cstheme="minorHAnsi"/>
                <w:color w:val="000000"/>
                <w:sz w:val="18"/>
                <w:szCs w:val="18"/>
              </w:rPr>
              <w:t>20.5</w:t>
            </w:r>
          </w:p>
        </w:tc>
      </w:tr>
      <w:tr w:rsidR="00AB4FFA" w:rsidRPr="00D876EE" w:rsidTr="0088478C">
        <w:trPr>
          <w:cnfStyle w:val="000000100000" w:firstRow="0" w:lastRow="0" w:firstColumn="0" w:lastColumn="0" w:oddVBand="0" w:evenVBand="0" w:oddHBand="1" w:evenHBand="0" w:firstRowFirstColumn="0" w:firstRowLastColumn="0" w:lastRowFirstColumn="0" w:lastRowLastColumn="0"/>
          <w:trHeight w:val="288"/>
        </w:trPr>
        <w:tc>
          <w:tcPr>
            <w:tcW w:w="3740" w:type="dxa"/>
          </w:tcPr>
          <w:p w:rsidR="00AB4FFA" w:rsidRPr="00396C98" w:rsidRDefault="00AB4FFA" w:rsidP="00563642">
            <w:pPr>
              <w:spacing w:after="0"/>
              <w:rPr>
                <w:rFonts w:asciiTheme="minorHAnsi" w:hAnsiTheme="minorHAnsi" w:cstheme="minorHAnsi"/>
                <w:b/>
                <w:color w:val="000000"/>
                <w:sz w:val="18"/>
                <w:szCs w:val="18"/>
              </w:rPr>
            </w:pPr>
            <w:r w:rsidRPr="00396C98">
              <w:rPr>
                <w:rFonts w:asciiTheme="minorHAnsi" w:hAnsiTheme="minorHAnsi" w:cstheme="minorHAnsi"/>
                <w:color w:val="000000"/>
                <w:sz w:val="18"/>
                <w:szCs w:val="18"/>
              </w:rPr>
              <w:t>Major depressive disorder</w:t>
            </w:r>
          </w:p>
        </w:tc>
        <w:tc>
          <w:tcPr>
            <w:tcW w:w="1125" w:type="dxa"/>
          </w:tcPr>
          <w:p w:rsidR="00AB4FFA" w:rsidRPr="00396C98" w:rsidRDefault="00AB4FFA" w:rsidP="00563642">
            <w:pPr>
              <w:spacing w:after="0"/>
              <w:jc w:val="right"/>
              <w:rPr>
                <w:rFonts w:asciiTheme="minorHAnsi" w:hAnsiTheme="minorHAnsi" w:cstheme="minorHAnsi"/>
                <w:sz w:val="18"/>
                <w:szCs w:val="18"/>
              </w:rPr>
            </w:pPr>
            <w:r w:rsidRPr="00396C98">
              <w:rPr>
                <w:rFonts w:asciiTheme="minorHAnsi" w:hAnsiTheme="minorHAnsi" w:cstheme="minorHAnsi"/>
                <w:sz w:val="18"/>
                <w:szCs w:val="18"/>
              </w:rPr>
              <w:t>0.23000</w:t>
            </w:r>
          </w:p>
        </w:tc>
        <w:tc>
          <w:tcPr>
            <w:tcW w:w="2189" w:type="dxa"/>
          </w:tcPr>
          <w:p w:rsidR="00AB4FFA" w:rsidRPr="00396C98" w:rsidRDefault="00AB4FFA" w:rsidP="00563642">
            <w:pPr>
              <w:spacing w:after="0"/>
              <w:jc w:val="center"/>
              <w:rPr>
                <w:rFonts w:asciiTheme="minorHAnsi" w:hAnsiTheme="minorHAnsi" w:cstheme="minorHAnsi"/>
                <w:color w:val="000000"/>
                <w:sz w:val="18"/>
                <w:szCs w:val="18"/>
              </w:rPr>
            </w:pPr>
            <w:r w:rsidRPr="00396C98">
              <w:rPr>
                <w:rFonts w:asciiTheme="minorHAnsi" w:hAnsiTheme="minorHAnsi" w:cstheme="minorHAnsi"/>
                <w:color w:val="000000"/>
                <w:sz w:val="18"/>
                <w:szCs w:val="18"/>
              </w:rPr>
              <w:t>10.7</w:t>
            </w:r>
          </w:p>
        </w:tc>
        <w:tc>
          <w:tcPr>
            <w:tcW w:w="2126" w:type="dxa"/>
            <w:noWrap/>
            <w:hideMark/>
          </w:tcPr>
          <w:p w:rsidR="00AB4FFA" w:rsidRPr="00396C98" w:rsidRDefault="00AB4FFA" w:rsidP="00563642">
            <w:pPr>
              <w:spacing w:after="0"/>
              <w:jc w:val="center"/>
              <w:rPr>
                <w:rFonts w:asciiTheme="minorHAnsi" w:hAnsiTheme="minorHAnsi" w:cstheme="minorHAnsi"/>
                <w:color w:val="000000"/>
                <w:sz w:val="18"/>
                <w:szCs w:val="18"/>
              </w:rPr>
            </w:pPr>
            <w:r w:rsidRPr="00396C98">
              <w:rPr>
                <w:rFonts w:asciiTheme="minorHAnsi" w:hAnsiTheme="minorHAnsi" w:cstheme="minorHAnsi"/>
                <w:color w:val="000000"/>
                <w:sz w:val="18"/>
                <w:szCs w:val="18"/>
              </w:rPr>
              <w:t>15.3</w:t>
            </w:r>
          </w:p>
        </w:tc>
      </w:tr>
      <w:tr w:rsidR="00AB4FFA" w:rsidRPr="00D876EE" w:rsidTr="0088478C">
        <w:trPr>
          <w:trHeight w:val="288"/>
        </w:trPr>
        <w:tc>
          <w:tcPr>
            <w:tcW w:w="3740" w:type="dxa"/>
          </w:tcPr>
          <w:p w:rsidR="00AB4FFA" w:rsidRPr="00396C98" w:rsidRDefault="00AB4FFA" w:rsidP="00563642">
            <w:pPr>
              <w:spacing w:after="0"/>
              <w:rPr>
                <w:rFonts w:asciiTheme="minorHAnsi" w:hAnsiTheme="minorHAnsi" w:cstheme="minorHAnsi"/>
                <w:b/>
                <w:color w:val="000000"/>
                <w:sz w:val="18"/>
                <w:szCs w:val="18"/>
              </w:rPr>
            </w:pPr>
            <w:r w:rsidRPr="00396C98">
              <w:rPr>
                <w:rFonts w:asciiTheme="minorHAnsi" w:hAnsiTheme="minorHAnsi" w:cstheme="minorHAnsi"/>
                <w:color w:val="000000"/>
                <w:sz w:val="18"/>
                <w:szCs w:val="18"/>
              </w:rPr>
              <w:t>Dysthymia</w:t>
            </w:r>
          </w:p>
        </w:tc>
        <w:tc>
          <w:tcPr>
            <w:tcW w:w="1125" w:type="dxa"/>
          </w:tcPr>
          <w:p w:rsidR="00AB4FFA" w:rsidRPr="00396C98" w:rsidRDefault="00AB4FFA" w:rsidP="00563642">
            <w:pPr>
              <w:spacing w:after="0"/>
              <w:jc w:val="right"/>
              <w:rPr>
                <w:rFonts w:asciiTheme="minorHAnsi" w:hAnsiTheme="minorHAnsi" w:cstheme="minorHAnsi"/>
                <w:sz w:val="18"/>
                <w:szCs w:val="18"/>
              </w:rPr>
            </w:pPr>
            <w:r w:rsidRPr="00396C98">
              <w:rPr>
                <w:rFonts w:asciiTheme="minorHAnsi" w:hAnsiTheme="minorHAnsi" w:cstheme="minorHAnsi"/>
                <w:sz w:val="18"/>
                <w:szCs w:val="18"/>
              </w:rPr>
              <w:t>0.11000</w:t>
            </w:r>
          </w:p>
        </w:tc>
        <w:tc>
          <w:tcPr>
            <w:tcW w:w="2189" w:type="dxa"/>
          </w:tcPr>
          <w:p w:rsidR="00AB4FFA" w:rsidRPr="00396C98" w:rsidRDefault="00AB4FFA" w:rsidP="00563642">
            <w:pPr>
              <w:spacing w:after="0"/>
              <w:jc w:val="center"/>
              <w:rPr>
                <w:rFonts w:asciiTheme="minorHAnsi" w:hAnsiTheme="minorHAnsi" w:cstheme="minorHAnsi"/>
                <w:color w:val="000000"/>
                <w:sz w:val="18"/>
                <w:szCs w:val="18"/>
              </w:rPr>
            </w:pPr>
            <w:r w:rsidRPr="00396C98">
              <w:rPr>
                <w:rFonts w:asciiTheme="minorHAnsi" w:hAnsiTheme="minorHAnsi" w:cstheme="minorHAnsi"/>
                <w:color w:val="000000"/>
                <w:sz w:val="18"/>
                <w:szCs w:val="18"/>
              </w:rPr>
              <w:t>10.7</w:t>
            </w:r>
          </w:p>
        </w:tc>
        <w:tc>
          <w:tcPr>
            <w:tcW w:w="2126" w:type="dxa"/>
            <w:noWrap/>
            <w:hideMark/>
          </w:tcPr>
          <w:p w:rsidR="00AB4FFA" w:rsidRPr="00396C98" w:rsidRDefault="00AB4FFA" w:rsidP="00563642">
            <w:pPr>
              <w:spacing w:after="0"/>
              <w:jc w:val="center"/>
              <w:rPr>
                <w:rFonts w:asciiTheme="minorHAnsi" w:hAnsiTheme="minorHAnsi" w:cstheme="minorHAnsi"/>
                <w:color w:val="000000"/>
                <w:sz w:val="18"/>
                <w:szCs w:val="18"/>
              </w:rPr>
            </w:pPr>
            <w:r w:rsidRPr="00396C98">
              <w:rPr>
                <w:rFonts w:asciiTheme="minorHAnsi" w:hAnsiTheme="minorHAnsi" w:cstheme="minorHAnsi"/>
                <w:color w:val="000000"/>
                <w:sz w:val="18"/>
                <w:szCs w:val="18"/>
              </w:rPr>
              <w:t>15.3</w:t>
            </w:r>
          </w:p>
        </w:tc>
      </w:tr>
      <w:tr w:rsidR="00AB4FFA" w:rsidRPr="00D876EE" w:rsidTr="0088478C">
        <w:trPr>
          <w:cnfStyle w:val="000000100000" w:firstRow="0" w:lastRow="0" w:firstColumn="0" w:lastColumn="0" w:oddVBand="0" w:evenVBand="0" w:oddHBand="1" w:evenHBand="0" w:firstRowFirstColumn="0" w:firstRowLastColumn="0" w:lastRowFirstColumn="0" w:lastRowLastColumn="0"/>
          <w:trHeight w:val="288"/>
        </w:trPr>
        <w:tc>
          <w:tcPr>
            <w:tcW w:w="3740" w:type="dxa"/>
          </w:tcPr>
          <w:p w:rsidR="00AB4FFA" w:rsidRPr="00396C98" w:rsidRDefault="00AB4FFA" w:rsidP="00563642">
            <w:pPr>
              <w:spacing w:after="0"/>
              <w:rPr>
                <w:rFonts w:asciiTheme="minorHAnsi" w:hAnsiTheme="minorHAnsi" w:cstheme="minorHAnsi"/>
                <w:b/>
                <w:color w:val="000000"/>
                <w:sz w:val="18"/>
                <w:szCs w:val="18"/>
              </w:rPr>
            </w:pPr>
            <w:r w:rsidRPr="00396C98">
              <w:rPr>
                <w:rFonts w:asciiTheme="minorHAnsi" w:hAnsiTheme="minorHAnsi" w:cstheme="minorHAnsi"/>
                <w:color w:val="000000"/>
                <w:sz w:val="18"/>
                <w:szCs w:val="18"/>
              </w:rPr>
              <w:t>Osteoarthritis</w:t>
            </w:r>
          </w:p>
        </w:tc>
        <w:tc>
          <w:tcPr>
            <w:tcW w:w="1125" w:type="dxa"/>
          </w:tcPr>
          <w:p w:rsidR="00AB4FFA" w:rsidRPr="00396C98" w:rsidRDefault="00AB4FFA" w:rsidP="00563642">
            <w:pPr>
              <w:spacing w:after="0"/>
              <w:jc w:val="right"/>
              <w:rPr>
                <w:rFonts w:asciiTheme="minorHAnsi" w:hAnsiTheme="minorHAnsi" w:cstheme="minorHAnsi"/>
                <w:sz w:val="18"/>
                <w:szCs w:val="18"/>
              </w:rPr>
            </w:pPr>
            <w:r w:rsidRPr="00396C98">
              <w:rPr>
                <w:rFonts w:asciiTheme="minorHAnsi" w:hAnsiTheme="minorHAnsi" w:cstheme="minorHAnsi"/>
                <w:sz w:val="18"/>
                <w:szCs w:val="18"/>
              </w:rPr>
              <w:t>0.09100</w:t>
            </w:r>
          </w:p>
        </w:tc>
        <w:tc>
          <w:tcPr>
            <w:tcW w:w="2189" w:type="dxa"/>
          </w:tcPr>
          <w:p w:rsidR="00AB4FFA" w:rsidRPr="00396C98" w:rsidRDefault="00AB4FFA" w:rsidP="00563642">
            <w:pPr>
              <w:spacing w:after="0"/>
              <w:jc w:val="center"/>
              <w:rPr>
                <w:rFonts w:asciiTheme="minorHAnsi" w:hAnsiTheme="minorHAnsi" w:cstheme="minorHAnsi"/>
                <w:color w:val="000000"/>
                <w:sz w:val="18"/>
                <w:szCs w:val="18"/>
              </w:rPr>
            </w:pPr>
            <w:r w:rsidRPr="00396C98">
              <w:rPr>
                <w:rFonts w:asciiTheme="minorHAnsi" w:hAnsiTheme="minorHAnsi" w:cstheme="minorHAnsi"/>
                <w:color w:val="000000"/>
                <w:sz w:val="18"/>
                <w:szCs w:val="18"/>
              </w:rPr>
              <w:t>2.5</w:t>
            </w:r>
          </w:p>
        </w:tc>
        <w:tc>
          <w:tcPr>
            <w:tcW w:w="2126" w:type="dxa"/>
            <w:noWrap/>
            <w:hideMark/>
          </w:tcPr>
          <w:p w:rsidR="00AB4FFA" w:rsidRPr="00396C98" w:rsidRDefault="00AB4FFA" w:rsidP="00563642">
            <w:pPr>
              <w:spacing w:after="0"/>
              <w:jc w:val="center"/>
              <w:rPr>
                <w:rFonts w:asciiTheme="minorHAnsi" w:hAnsiTheme="minorHAnsi" w:cstheme="minorHAnsi"/>
                <w:color w:val="000000"/>
                <w:sz w:val="18"/>
                <w:szCs w:val="18"/>
              </w:rPr>
            </w:pPr>
            <w:r w:rsidRPr="00396C98">
              <w:rPr>
                <w:rFonts w:asciiTheme="minorHAnsi" w:hAnsiTheme="minorHAnsi" w:cstheme="minorHAnsi"/>
                <w:color w:val="000000"/>
                <w:sz w:val="18"/>
                <w:szCs w:val="18"/>
              </w:rPr>
              <w:t>11.2</w:t>
            </w:r>
          </w:p>
        </w:tc>
      </w:tr>
      <w:tr w:rsidR="00AB4FFA" w:rsidRPr="00D876EE" w:rsidTr="0088478C">
        <w:trPr>
          <w:trHeight w:val="288"/>
        </w:trPr>
        <w:tc>
          <w:tcPr>
            <w:tcW w:w="3740" w:type="dxa"/>
          </w:tcPr>
          <w:p w:rsidR="00AB4FFA" w:rsidRPr="00396C98" w:rsidRDefault="00AB4FFA" w:rsidP="00563642">
            <w:pPr>
              <w:spacing w:after="0"/>
              <w:rPr>
                <w:rFonts w:asciiTheme="minorHAnsi" w:hAnsiTheme="minorHAnsi" w:cstheme="minorHAnsi"/>
                <w:b/>
                <w:color w:val="000000"/>
                <w:sz w:val="18"/>
                <w:szCs w:val="18"/>
              </w:rPr>
            </w:pPr>
            <w:r w:rsidRPr="00396C98">
              <w:rPr>
                <w:rFonts w:asciiTheme="minorHAnsi" w:hAnsiTheme="minorHAnsi" w:cstheme="minorHAnsi"/>
                <w:color w:val="000000"/>
                <w:sz w:val="18"/>
                <w:szCs w:val="18"/>
              </w:rPr>
              <w:t>Rheumatoid arthritis</w:t>
            </w:r>
          </w:p>
        </w:tc>
        <w:tc>
          <w:tcPr>
            <w:tcW w:w="1125" w:type="dxa"/>
          </w:tcPr>
          <w:p w:rsidR="00AB4FFA" w:rsidRPr="00396C98" w:rsidRDefault="00AB4FFA" w:rsidP="00563642">
            <w:pPr>
              <w:spacing w:after="0"/>
              <w:jc w:val="right"/>
              <w:rPr>
                <w:rFonts w:asciiTheme="minorHAnsi" w:hAnsiTheme="minorHAnsi" w:cstheme="minorHAnsi"/>
                <w:sz w:val="18"/>
                <w:szCs w:val="18"/>
              </w:rPr>
            </w:pPr>
            <w:r w:rsidRPr="00396C98">
              <w:rPr>
                <w:rFonts w:asciiTheme="minorHAnsi" w:hAnsiTheme="minorHAnsi" w:cstheme="minorHAnsi"/>
                <w:sz w:val="18"/>
                <w:szCs w:val="18"/>
              </w:rPr>
              <w:t>0.33733</w:t>
            </w:r>
          </w:p>
        </w:tc>
        <w:tc>
          <w:tcPr>
            <w:tcW w:w="2189" w:type="dxa"/>
          </w:tcPr>
          <w:p w:rsidR="00AB4FFA" w:rsidRPr="00396C98" w:rsidRDefault="00AB4FFA" w:rsidP="00563642">
            <w:pPr>
              <w:spacing w:after="0"/>
              <w:jc w:val="center"/>
              <w:rPr>
                <w:rFonts w:asciiTheme="minorHAnsi" w:hAnsiTheme="minorHAnsi" w:cstheme="minorHAnsi"/>
                <w:color w:val="000000"/>
                <w:sz w:val="18"/>
                <w:szCs w:val="18"/>
              </w:rPr>
            </w:pPr>
            <w:r w:rsidRPr="00396C98">
              <w:rPr>
                <w:rFonts w:asciiTheme="minorHAnsi" w:hAnsiTheme="minorHAnsi" w:cstheme="minorHAnsi"/>
                <w:color w:val="000000"/>
                <w:sz w:val="18"/>
                <w:szCs w:val="18"/>
              </w:rPr>
              <w:t>2.5</w:t>
            </w:r>
          </w:p>
        </w:tc>
        <w:tc>
          <w:tcPr>
            <w:tcW w:w="2126" w:type="dxa"/>
            <w:noWrap/>
            <w:hideMark/>
          </w:tcPr>
          <w:p w:rsidR="00AB4FFA" w:rsidRPr="00396C98" w:rsidRDefault="00AB4FFA" w:rsidP="00563642">
            <w:pPr>
              <w:spacing w:after="0"/>
              <w:jc w:val="center"/>
              <w:rPr>
                <w:rFonts w:asciiTheme="minorHAnsi" w:hAnsiTheme="minorHAnsi" w:cstheme="minorHAnsi"/>
                <w:color w:val="000000"/>
                <w:sz w:val="18"/>
                <w:szCs w:val="18"/>
              </w:rPr>
            </w:pPr>
            <w:r w:rsidRPr="00396C98">
              <w:rPr>
                <w:rFonts w:asciiTheme="minorHAnsi" w:hAnsiTheme="minorHAnsi" w:cstheme="minorHAnsi"/>
                <w:color w:val="000000"/>
                <w:sz w:val="18"/>
                <w:szCs w:val="18"/>
              </w:rPr>
              <w:t>11.2</w:t>
            </w:r>
          </w:p>
        </w:tc>
      </w:tr>
      <w:tr w:rsidR="00AB4FFA" w:rsidRPr="00D876EE" w:rsidTr="0088478C">
        <w:trPr>
          <w:cnfStyle w:val="000000100000" w:firstRow="0" w:lastRow="0" w:firstColumn="0" w:lastColumn="0" w:oddVBand="0" w:evenVBand="0" w:oddHBand="1" w:evenHBand="0" w:firstRowFirstColumn="0" w:firstRowLastColumn="0" w:lastRowFirstColumn="0" w:lastRowLastColumn="0"/>
          <w:trHeight w:val="288"/>
        </w:trPr>
        <w:tc>
          <w:tcPr>
            <w:tcW w:w="3740" w:type="dxa"/>
          </w:tcPr>
          <w:p w:rsidR="00AB4FFA" w:rsidRPr="00396C98" w:rsidRDefault="00AB4FFA" w:rsidP="00563642">
            <w:pPr>
              <w:spacing w:after="0"/>
              <w:rPr>
                <w:rFonts w:asciiTheme="minorHAnsi" w:hAnsiTheme="minorHAnsi" w:cstheme="minorHAnsi"/>
                <w:b/>
                <w:color w:val="000000"/>
                <w:sz w:val="18"/>
                <w:szCs w:val="18"/>
              </w:rPr>
            </w:pPr>
            <w:r w:rsidRPr="00396C98">
              <w:rPr>
                <w:rFonts w:asciiTheme="minorHAnsi" w:hAnsiTheme="minorHAnsi" w:cstheme="minorHAnsi"/>
                <w:color w:val="000000"/>
                <w:sz w:val="18"/>
                <w:szCs w:val="18"/>
              </w:rPr>
              <w:t>Neoplasm</w:t>
            </w:r>
          </w:p>
        </w:tc>
        <w:tc>
          <w:tcPr>
            <w:tcW w:w="1125" w:type="dxa"/>
          </w:tcPr>
          <w:p w:rsidR="00AB4FFA" w:rsidRPr="00396C98" w:rsidRDefault="00AB4FFA" w:rsidP="00563642">
            <w:pPr>
              <w:spacing w:after="0"/>
              <w:jc w:val="right"/>
              <w:rPr>
                <w:rFonts w:asciiTheme="minorHAnsi" w:hAnsiTheme="minorHAnsi" w:cstheme="minorHAnsi"/>
                <w:sz w:val="18"/>
                <w:szCs w:val="18"/>
              </w:rPr>
            </w:pPr>
            <w:r w:rsidRPr="00396C98">
              <w:rPr>
                <w:rFonts w:asciiTheme="minorHAnsi" w:hAnsiTheme="minorHAnsi" w:cstheme="minorHAnsi"/>
                <w:sz w:val="18"/>
                <w:szCs w:val="18"/>
              </w:rPr>
              <w:t>0.32150</w:t>
            </w:r>
          </w:p>
        </w:tc>
        <w:tc>
          <w:tcPr>
            <w:tcW w:w="2189" w:type="dxa"/>
          </w:tcPr>
          <w:p w:rsidR="00AB4FFA" w:rsidRPr="00396C98" w:rsidRDefault="00AB4FFA" w:rsidP="00563642">
            <w:pPr>
              <w:spacing w:after="0"/>
              <w:jc w:val="center"/>
              <w:rPr>
                <w:rFonts w:asciiTheme="minorHAnsi" w:hAnsiTheme="minorHAnsi" w:cstheme="minorHAnsi"/>
                <w:color w:val="000000"/>
                <w:sz w:val="18"/>
                <w:szCs w:val="18"/>
              </w:rPr>
            </w:pPr>
            <w:r w:rsidRPr="00396C98">
              <w:rPr>
                <w:rFonts w:asciiTheme="minorHAnsi" w:hAnsiTheme="minorHAnsi" w:cstheme="minorHAnsi"/>
                <w:color w:val="000000"/>
                <w:sz w:val="18"/>
                <w:szCs w:val="18"/>
              </w:rPr>
              <w:t>7.0</w:t>
            </w:r>
          </w:p>
        </w:tc>
        <w:tc>
          <w:tcPr>
            <w:tcW w:w="2126" w:type="dxa"/>
            <w:noWrap/>
            <w:hideMark/>
          </w:tcPr>
          <w:p w:rsidR="00AB4FFA" w:rsidRPr="00396C98" w:rsidRDefault="00AB4FFA" w:rsidP="00563642">
            <w:pPr>
              <w:spacing w:after="0"/>
              <w:jc w:val="center"/>
              <w:rPr>
                <w:rFonts w:asciiTheme="minorHAnsi" w:hAnsiTheme="minorHAnsi" w:cstheme="minorHAnsi"/>
                <w:color w:val="000000"/>
                <w:sz w:val="18"/>
                <w:szCs w:val="18"/>
              </w:rPr>
            </w:pPr>
            <w:r w:rsidRPr="00396C98">
              <w:rPr>
                <w:rFonts w:asciiTheme="minorHAnsi" w:hAnsiTheme="minorHAnsi" w:cstheme="minorHAnsi"/>
                <w:color w:val="000000"/>
                <w:sz w:val="18"/>
                <w:szCs w:val="18"/>
              </w:rPr>
              <w:t>8.5</w:t>
            </w:r>
          </w:p>
        </w:tc>
      </w:tr>
    </w:tbl>
    <w:p w:rsidR="00AB4FFA" w:rsidRPr="00516500" w:rsidRDefault="00AB4FFA" w:rsidP="00AB4FFA">
      <w:pPr>
        <w:rPr>
          <w:rFonts w:eastAsia="Calibri" w:cs="Times New Roman"/>
          <w:noProof/>
          <w:sz w:val="18"/>
          <w:szCs w:val="16"/>
          <w:lang w:eastAsia="en-AU"/>
        </w:rPr>
      </w:pPr>
      <w:r w:rsidRPr="00516500">
        <w:rPr>
          <w:rFonts w:eastAsia="Calibri" w:cs="Times New Roman"/>
          <w:noProof/>
          <w:sz w:val="18"/>
          <w:szCs w:val="16"/>
          <w:lang w:eastAsia="en-AU"/>
        </w:rPr>
        <w:t>Source</w:t>
      </w:r>
      <w:r w:rsidR="007A31E9" w:rsidRPr="00516500">
        <w:rPr>
          <w:rFonts w:eastAsia="Calibri" w:cs="Times New Roman"/>
          <w:noProof/>
          <w:sz w:val="18"/>
          <w:szCs w:val="16"/>
          <w:lang w:eastAsia="en-AU"/>
        </w:rPr>
        <w:t>s</w:t>
      </w:r>
      <w:r w:rsidRPr="00516500">
        <w:rPr>
          <w:rFonts w:eastAsia="Calibri" w:cs="Times New Roman"/>
          <w:noProof/>
          <w:sz w:val="18"/>
          <w:szCs w:val="16"/>
          <w:lang w:eastAsia="en-AU"/>
        </w:rPr>
        <w:t>: Murray et al. (2012)</w:t>
      </w:r>
      <w:r w:rsidR="005E5CB1" w:rsidRPr="00516500">
        <w:rPr>
          <w:rFonts w:eastAsia="Calibri" w:cs="Times New Roman"/>
          <w:noProof/>
          <w:sz w:val="18"/>
          <w:szCs w:val="16"/>
          <w:lang w:eastAsia="en-AU"/>
        </w:rPr>
        <w:t>;</w:t>
      </w:r>
      <w:r w:rsidRPr="00516500">
        <w:rPr>
          <w:rFonts w:eastAsia="Calibri" w:cs="Times New Roman"/>
          <w:noProof/>
          <w:sz w:val="18"/>
          <w:szCs w:val="16"/>
          <w:lang w:eastAsia="en-AU"/>
        </w:rPr>
        <w:t xml:space="preserve"> Salomon et al. (2012)</w:t>
      </w:r>
      <w:r w:rsidR="005E5CB1" w:rsidRPr="00516500">
        <w:rPr>
          <w:rFonts w:eastAsia="Calibri" w:cs="Times New Roman"/>
          <w:noProof/>
          <w:sz w:val="18"/>
          <w:szCs w:val="16"/>
          <w:lang w:eastAsia="en-AU"/>
        </w:rPr>
        <w:t>;</w:t>
      </w:r>
      <w:r w:rsidRPr="00516500">
        <w:rPr>
          <w:rFonts w:eastAsia="Calibri" w:cs="Times New Roman"/>
          <w:noProof/>
          <w:sz w:val="18"/>
          <w:szCs w:val="16"/>
          <w:lang w:eastAsia="en-AU"/>
        </w:rPr>
        <w:t xml:space="preserve"> Goetzel et al. (2004).</w:t>
      </w:r>
    </w:p>
    <w:p w:rsidR="00AB4FFA" w:rsidRPr="007730DE" w:rsidRDefault="00AB4FFA" w:rsidP="00AB4FFA">
      <w:pPr>
        <w:rPr>
          <w:rFonts w:eastAsia="Calibri" w:cs="Times New Roman"/>
          <w:szCs w:val="22"/>
          <w:lang w:eastAsia="en-AU"/>
        </w:rPr>
      </w:pPr>
      <w:r w:rsidRPr="007730DE">
        <w:rPr>
          <w:rFonts w:eastAsia="Calibri" w:cs="Times New Roman"/>
          <w:noProof/>
          <w:szCs w:val="22"/>
          <w:lang w:eastAsia="en-AU"/>
        </w:rPr>
        <w:t xml:space="preserve">To calculate the economic loss due to morbidity suffered by people in the </w:t>
      </w:r>
      <w:r>
        <w:rPr>
          <w:rFonts w:eastAsia="Calibri" w:cs="Times New Roman"/>
          <w:noProof/>
          <w:szCs w:val="22"/>
          <w:lang w:eastAsia="en-AU"/>
        </w:rPr>
        <w:t>labour</w:t>
      </w:r>
      <w:r w:rsidRPr="007730DE">
        <w:rPr>
          <w:rFonts w:eastAsia="Calibri" w:cs="Times New Roman"/>
          <w:noProof/>
          <w:szCs w:val="22"/>
          <w:lang w:eastAsia="en-AU"/>
        </w:rPr>
        <w:t xml:space="preserve"> force, </w:t>
      </w:r>
      <w:r w:rsidR="00F400C2">
        <w:rPr>
          <w:rFonts w:eastAsia="Calibri" w:cs="Times New Roman"/>
          <w:noProof/>
          <w:szCs w:val="22"/>
          <w:lang w:eastAsia="en-AU"/>
        </w:rPr>
        <w:t>one of the key aspects of the mode</w:t>
      </w:r>
      <w:r w:rsidR="007A31E9">
        <w:rPr>
          <w:rFonts w:eastAsia="Calibri" w:cs="Times New Roman"/>
          <w:noProof/>
          <w:szCs w:val="22"/>
          <w:lang w:eastAsia="en-AU"/>
        </w:rPr>
        <w:t>l</w:t>
      </w:r>
      <w:r w:rsidR="00F400C2">
        <w:rPr>
          <w:rFonts w:eastAsia="Calibri" w:cs="Times New Roman"/>
          <w:noProof/>
          <w:szCs w:val="22"/>
          <w:lang w:eastAsia="en-AU"/>
        </w:rPr>
        <w:t xml:space="preserve"> is</w:t>
      </w:r>
      <w:r w:rsidRPr="007730DE">
        <w:rPr>
          <w:rFonts w:eastAsia="Calibri" w:cs="Times New Roman"/>
          <w:noProof/>
          <w:szCs w:val="22"/>
          <w:lang w:eastAsia="en-AU"/>
        </w:rPr>
        <w:t xml:space="preserve"> to quantify </w:t>
      </w:r>
      <w:r w:rsidR="00F400C2">
        <w:rPr>
          <w:rFonts w:eastAsia="Calibri" w:cs="Times New Roman"/>
          <w:noProof/>
          <w:szCs w:val="22"/>
          <w:lang w:eastAsia="en-AU"/>
        </w:rPr>
        <w:t>the</w:t>
      </w:r>
      <w:r w:rsidRPr="007730DE">
        <w:rPr>
          <w:rFonts w:eastAsia="Calibri" w:cs="Times New Roman"/>
          <w:noProof/>
          <w:szCs w:val="22"/>
          <w:lang w:eastAsia="en-AU"/>
        </w:rPr>
        <w:t xml:space="preserve"> i</w:t>
      </w:r>
      <w:r>
        <w:rPr>
          <w:rFonts w:eastAsia="Calibri" w:cs="Times New Roman"/>
          <w:noProof/>
          <w:szCs w:val="22"/>
          <w:lang w:eastAsia="en-AU"/>
        </w:rPr>
        <w:t>m</w:t>
      </w:r>
      <w:r w:rsidRPr="007730DE">
        <w:rPr>
          <w:rFonts w:eastAsia="Calibri" w:cs="Times New Roman"/>
          <w:noProof/>
          <w:szCs w:val="22"/>
          <w:lang w:eastAsia="en-AU"/>
        </w:rPr>
        <w:t xml:space="preserve">pact </w:t>
      </w:r>
      <w:r w:rsidR="00F400C2">
        <w:rPr>
          <w:rFonts w:eastAsia="Calibri" w:cs="Times New Roman"/>
          <w:noProof/>
          <w:szCs w:val="22"/>
          <w:lang w:eastAsia="en-AU"/>
        </w:rPr>
        <w:t xml:space="preserve">of </w:t>
      </w:r>
      <w:r w:rsidRPr="007730DE">
        <w:rPr>
          <w:rFonts w:eastAsia="Calibri" w:cs="Times New Roman"/>
          <w:noProof/>
          <w:szCs w:val="22"/>
          <w:lang w:eastAsia="en-AU"/>
        </w:rPr>
        <w:t xml:space="preserve">disease on </w:t>
      </w:r>
      <w:r>
        <w:rPr>
          <w:rFonts w:eastAsia="Calibri" w:cs="Times New Roman"/>
          <w:noProof/>
          <w:szCs w:val="22"/>
          <w:lang w:eastAsia="en-AU"/>
        </w:rPr>
        <w:t>labour</w:t>
      </w:r>
      <w:r w:rsidRPr="007730DE">
        <w:rPr>
          <w:rFonts w:eastAsia="Calibri" w:cs="Times New Roman"/>
          <w:noProof/>
          <w:szCs w:val="22"/>
          <w:lang w:eastAsia="en-AU"/>
        </w:rPr>
        <w:t xml:space="preserve"> force partic</w:t>
      </w:r>
      <w:r>
        <w:rPr>
          <w:rFonts w:eastAsia="Calibri" w:cs="Times New Roman"/>
          <w:noProof/>
          <w:szCs w:val="22"/>
          <w:lang w:eastAsia="en-AU"/>
        </w:rPr>
        <w:t>i</w:t>
      </w:r>
      <w:r w:rsidRPr="007730DE">
        <w:rPr>
          <w:rFonts w:eastAsia="Calibri" w:cs="Times New Roman"/>
          <w:noProof/>
          <w:szCs w:val="22"/>
          <w:lang w:eastAsia="en-AU"/>
        </w:rPr>
        <w:t>pation and on productivity at work. For this</w:t>
      </w:r>
      <w:r w:rsidR="00696111">
        <w:rPr>
          <w:rFonts w:eastAsia="Calibri" w:cs="Times New Roman"/>
          <w:noProof/>
          <w:szCs w:val="22"/>
          <w:lang w:eastAsia="en-AU"/>
        </w:rPr>
        <w:t>,</w:t>
      </w:r>
      <w:r w:rsidRPr="007730DE">
        <w:rPr>
          <w:rFonts w:eastAsia="Calibri" w:cs="Times New Roman"/>
          <w:noProof/>
          <w:szCs w:val="22"/>
          <w:lang w:eastAsia="en-AU"/>
        </w:rPr>
        <w:t xml:space="preserve"> we use estimates by Goetzel et</w:t>
      </w:r>
      <w:r>
        <w:rPr>
          <w:rFonts w:eastAsia="Calibri" w:cs="Times New Roman"/>
          <w:noProof/>
          <w:szCs w:val="22"/>
          <w:lang w:eastAsia="en-AU"/>
        </w:rPr>
        <w:t xml:space="preserve"> al. </w:t>
      </w:r>
      <w:r w:rsidRPr="007730DE">
        <w:rPr>
          <w:rFonts w:eastAsia="Calibri" w:cs="Times New Roman"/>
          <w:noProof/>
          <w:szCs w:val="22"/>
          <w:lang w:eastAsia="en-AU"/>
        </w:rPr>
        <w:t xml:space="preserve">(2004) on productivity loss due to absenteeism and presenteeism by disease fitted to the disease categories used in the modelling (Table </w:t>
      </w:r>
      <w:r w:rsidR="00232158">
        <w:rPr>
          <w:rFonts w:eastAsia="Calibri" w:cs="Times New Roman"/>
          <w:noProof/>
          <w:szCs w:val="22"/>
          <w:lang w:eastAsia="en-AU"/>
        </w:rPr>
        <w:t>2</w:t>
      </w:r>
      <w:r w:rsidRPr="007730DE">
        <w:rPr>
          <w:rFonts w:eastAsia="Calibri" w:cs="Times New Roman"/>
          <w:noProof/>
          <w:szCs w:val="22"/>
          <w:lang w:eastAsia="en-AU"/>
        </w:rPr>
        <w:t>).</w:t>
      </w:r>
      <w:r>
        <w:rPr>
          <w:rFonts w:eastAsia="Calibri" w:cs="Times New Roman"/>
          <w:noProof/>
          <w:szCs w:val="22"/>
          <w:lang w:eastAsia="en-AU"/>
        </w:rPr>
        <w:t xml:space="preserve"> An extensive review of the literature in the various countries on these issues has been conducted for this project, but no better source of such estimates has yet been identified. </w:t>
      </w:r>
    </w:p>
    <w:p w:rsidR="00AB4FFA" w:rsidRDefault="00AB4FFA" w:rsidP="00AB4FFA">
      <w:pPr>
        <w:rPr>
          <w:rFonts w:eastAsia="Calibri" w:cs="Times New Roman"/>
          <w:noProof/>
          <w:szCs w:val="22"/>
          <w:lang w:eastAsia="en-AU"/>
        </w:rPr>
      </w:pPr>
      <w:r w:rsidRPr="007730DE">
        <w:rPr>
          <w:rFonts w:eastAsia="Calibri" w:cs="Times New Roman"/>
          <w:noProof/>
          <w:szCs w:val="22"/>
          <w:lang w:eastAsia="en-AU"/>
        </w:rPr>
        <w:t xml:space="preserve">Multiplying the GDP per person in the </w:t>
      </w:r>
      <w:r>
        <w:rPr>
          <w:rFonts w:eastAsia="Calibri" w:cs="Times New Roman"/>
          <w:noProof/>
          <w:szCs w:val="22"/>
          <w:lang w:eastAsia="en-AU"/>
        </w:rPr>
        <w:t>labour</w:t>
      </w:r>
      <w:r w:rsidRPr="007730DE">
        <w:rPr>
          <w:rFonts w:eastAsia="Calibri" w:cs="Times New Roman"/>
          <w:noProof/>
          <w:szCs w:val="22"/>
          <w:lang w:eastAsia="en-AU"/>
        </w:rPr>
        <w:t xml:space="preserve"> force estimates by the loss in productivity from a disease</w:t>
      </w:r>
      <w:r w:rsidR="00696111">
        <w:rPr>
          <w:rFonts w:eastAsia="Calibri" w:cs="Times New Roman"/>
          <w:noProof/>
          <w:szCs w:val="22"/>
          <w:lang w:eastAsia="en-AU"/>
        </w:rPr>
        <w:t>,</w:t>
      </w:r>
      <w:r w:rsidRPr="007730DE">
        <w:rPr>
          <w:rFonts w:eastAsia="Calibri" w:cs="Times New Roman"/>
          <w:noProof/>
          <w:szCs w:val="22"/>
          <w:lang w:eastAsia="en-AU"/>
        </w:rPr>
        <w:t xml:space="preserve"> gives the estimated reduction in GDP per person attributable to a particluar disease. Multiplying this by the prevalence in the </w:t>
      </w:r>
      <w:r>
        <w:rPr>
          <w:rFonts w:eastAsia="Calibri" w:cs="Times New Roman"/>
          <w:noProof/>
          <w:szCs w:val="22"/>
          <w:lang w:eastAsia="en-AU"/>
        </w:rPr>
        <w:t>labour</w:t>
      </w:r>
      <w:r w:rsidRPr="007730DE">
        <w:rPr>
          <w:rFonts w:eastAsia="Calibri" w:cs="Times New Roman"/>
          <w:noProof/>
          <w:szCs w:val="22"/>
          <w:lang w:eastAsia="en-AU"/>
        </w:rPr>
        <w:t xml:space="preserve"> force of that disease</w:t>
      </w:r>
      <w:r w:rsidR="00696111">
        <w:rPr>
          <w:rFonts w:eastAsia="Calibri" w:cs="Times New Roman"/>
          <w:noProof/>
          <w:szCs w:val="22"/>
          <w:lang w:eastAsia="en-AU"/>
        </w:rPr>
        <w:t>,</w:t>
      </w:r>
      <w:r w:rsidRPr="007730DE">
        <w:rPr>
          <w:rFonts w:eastAsia="Calibri" w:cs="Times New Roman"/>
          <w:noProof/>
          <w:szCs w:val="22"/>
          <w:lang w:eastAsia="en-AU"/>
        </w:rPr>
        <w:t xml:space="preserve"> gives an estimate of the annual loss in GDP from that disease.</w:t>
      </w:r>
    </w:p>
    <w:p w:rsidR="00AB4FFA" w:rsidRDefault="00AB4FFA" w:rsidP="00AB4FFA">
      <w:pPr>
        <w:pStyle w:val="Heading3"/>
      </w:pPr>
      <w:bookmarkStart w:id="11" w:name="_Toc432083910"/>
      <w:r>
        <w:t>Interpreting the estimates</w:t>
      </w:r>
      <w:bookmarkEnd w:id="11"/>
    </w:p>
    <w:p w:rsidR="00F400C2" w:rsidRDefault="00AB4FFA" w:rsidP="00AB4FFA">
      <w:r>
        <w:t>The overall estimates of the GDP losses arising from deaths (from 201</w:t>
      </w:r>
      <w:r w:rsidR="00362296">
        <w:t>5</w:t>
      </w:r>
      <w:r>
        <w:t xml:space="preserve"> onwards) and from absenteeism and presenteeism from the prevalence of NCDs in the actual and potential workforce are summarised in Table </w:t>
      </w:r>
      <w:r w:rsidR="00232158">
        <w:t>3.</w:t>
      </w:r>
      <w:r>
        <w:t xml:space="preserve"> </w:t>
      </w:r>
    </w:p>
    <w:p w:rsidR="007A31E9" w:rsidRDefault="00AB4FFA" w:rsidP="001071FB">
      <w:r>
        <w:t xml:space="preserve">In interpreting these estimates, it is important to note that they primarily reflect the pattern of ageing of the population of labour force age in the various </w:t>
      </w:r>
      <w:r w:rsidRPr="00EB0CE5">
        <w:t>countries</w:t>
      </w:r>
      <w:r w:rsidR="007A31E9">
        <w:t>,</w:t>
      </w:r>
      <w:r>
        <w:t xml:space="preserve"> and the level of age standardised NCD mortality and non-fatal prevalence rates. In countries such as </w:t>
      </w:r>
      <w:r w:rsidR="0037054D">
        <w:t>the United States</w:t>
      </w:r>
      <w:r w:rsidR="007A31E9">
        <w:t>,</w:t>
      </w:r>
      <w:r>
        <w:t xml:space="preserve"> where ageing is well advanced</w:t>
      </w:r>
      <w:r w:rsidRPr="00EC5C71">
        <w:t>,</w:t>
      </w:r>
      <w:r>
        <w:t xml:space="preserve"> the cost by 201</w:t>
      </w:r>
      <w:r w:rsidR="0037054D">
        <w:t>5</w:t>
      </w:r>
      <w:r>
        <w:t xml:space="preserve"> is already relatively high </w:t>
      </w:r>
      <w:r w:rsidR="007E3A43">
        <w:t xml:space="preserve">(5% of GDP) </w:t>
      </w:r>
      <w:r>
        <w:t xml:space="preserve">and the future growth in cost more limited. This in part reflects the fact that many of the costs of the interaction of ageing and NCDs are felt beyond the years of labour force age. </w:t>
      </w:r>
    </w:p>
    <w:p w:rsidR="007A31E9" w:rsidRDefault="007A31E9" w:rsidP="007A31E9">
      <w:r w:rsidRPr="00D4666E">
        <w:lastRenderedPageBreak/>
        <w:t xml:space="preserve">The economic cost to </w:t>
      </w:r>
      <w:r w:rsidR="00EB4CC2">
        <w:t>Jiangsu</w:t>
      </w:r>
      <w:r w:rsidRPr="00D4666E">
        <w:t xml:space="preserve"> of these factors is also </w:t>
      </w:r>
      <w:r w:rsidR="001C6B9B">
        <w:t xml:space="preserve">quite </w:t>
      </w:r>
      <w:r w:rsidRPr="00D4666E">
        <w:t xml:space="preserve">high, </w:t>
      </w:r>
      <w:r w:rsidRPr="005C37B2">
        <w:t xml:space="preserve">rising from </w:t>
      </w:r>
      <w:r w:rsidR="005C37B2">
        <w:t>2.9</w:t>
      </w:r>
      <w:r w:rsidRPr="005C37B2">
        <w:t xml:space="preserve">% to </w:t>
      </w:r>
      <w:r w:rsidR="005C37B2">
        <w:t>3.2</w:t>
      </w:r>
      <w:r w:rsidRPr="005C37B2">
        <w:t xml:space="preserve">% </w:t>
      </w:r>
      <w:r w:rsidR="001C6B9B" w:rsidRPr="005C37B2">
        <w:t>of GDP</w:t>
      </w:r>
      <w:r w:rsidR="001C6B9B">
        <w:t xml:space="preserve"> </w:t>
      </w:r>
      <w:r w:rsidRPr="00D4666E">
        <w:t>over the period 201</w:t>
      </w:r>
      <w:r w:rsidR="00362296">
        <w:t>5</w:t>
      </w:r>
      <w:r w:rsidRPr="00D4666E">
        <w:t>-</w:t>
      </w:r>
      <w:r w:rsidRPr="004C320E">
        <w:t>2030. Its workforce is ageing at one of the</w:t>
      </w:r>
      <w:r w:rsidR="001C6B9B">
        <w:t xml:space="preserve"> </w:t>
      </w:r>
      <w:r w:rsidR="005C37B2">
        <w:t>highest</w:t>
      </w:r>
      <w:r w:rsidRPr="004C320E">
        <w:t xml:space="preserve"> rates (</w:t>
      </w:r>
      <w:r w:rsidRPr="001071FB">
        <w:t xml:space="preserve">Figure </w:t>
      </w:r>
      <w:r w:rsidR="004C320E" w:rsidRPr="004C320E">
        <w:t>2</w:t>
      </w:r>
      <w:r w:rsidR="00595318">
        <w:t>).</w:t>
      </w:r>
    </w:p>
    <w:p w:rsidR="00AB4FFA" w:rsidRPr="004169A7" w:rsidRDefault="00AB4FFA" w:rsidP="0088478C">
      <w:pPr>
        <w:pStyle w:val="Figureheading"/>
      </w:pPr>
      <w:bookmarkStart w:id="12" w:name="_Toc432086645"/>
      <w:r w:rsidRPr="00913922">
        <w:t xml:space="preserve">Table </w:t>
      </w:r>
      <w:r w:rsidR="00DA3249">
        <w:t>3</w:t>
      </w:r>
      <w:r w:rsidR="007A31E9" w:rsidRPr="00913922">
        <w:t xml:space="preserve"> </w:t>
      </w:r>
      <w:r w:rsidRPr="00913922">
        <w:t xml:space="preserve">Estimates of </w:t>
      </w:r>
      <w:r w:rsidR="00EB4CC2">
        <w:t xml:space="preserve">percentage </w:t>
      </w:r>
      <w:r w:rsidRPr="00913922">
        <w:t xml:space="preserve">lost GDP from absenteeism and presenteeism, </w:t>
      </w:r>
      <w:r w:rsidR="00EB4CC2">
        <w:t>Jiangsu</w:t>
      </w:r>
      <w:r w:rsidR="0037054D">
        <w:t xml:space="preserve"> and selected countries</w:t>
      </w:r>
      <w:r w:rsidR="00362296" w:rsidRPr="00913922">
        <w:t>,</w:t>
      </w:r>
      <w:r w:rsidR="00362296">
        <w:t xml:space="preserve"> 2015</w:t>
      </w:r>
      <w:r w:rsidRPr="00913922">
        <w:t xml:space="preserve"> to 2030</w:t>
      </w:r>
      <w:bookmarkEnd w:id="12"/>
    </w:p>
    <w:tbl>
      <w:tblPr>
        <w:tblStyle w:val="ListTable3-Accent11"/>
        <w:tblW w:w="9578" w:type="dxa"/>
        <w:tblLook w:val="0420" w:firstRow="1" w:lastRow="0" w:firstColumn="0" w:lastColumn="0" w:noHBand="0" w:noVBand="1"/>
      </w:tblPr>
      <w:tblGrid>
        <w:gridCol w:w="1088"/>
        <w:gridCol w:w="714"/>
        <w:gridCol w:w="1187"/>
        <w:gridCol w:w="1232"/>
        <w:gridCol w:w="598"/>
        <w:gridCol w:w="1129"/>
        <w:gridCol w:w="613"/>
        <w:gridCol w:w="1187"/>
        <w:gridCol w:w="1232"/>
        <w:gridCol w:w="598"/>
      </w:tblGrid>
      <w:tr w:rsidR="00396C98" w:rsidRPr="00D876EE" w:rsidTr="00396C98">
        <w:trPr>
          <w:cnfStyle w:val="100000000000" w:firstRow="1" w:lastRow="0" w:firstColumn="0" w:lastColumn="0" w:oddVBand="0" w:evenVBand="0" w:oddHBand="0" w:evenHBand="0" w:firstRowFirstColumn="0" w:firstRowLastColumn="0" w:lastRowFirstColumn="0" w:lastRowLastColumn="0"/>
          <w:trHeight w:val="288"/>
        </w:trPr>
        <w:tc>
          <w:tcPr>
            <w:tcW w:w="1088" w:type="dxa"/>
            <w:tcBorders>
              <w:top w:val="single" w:sz="4" w:space="0" w:color="5B9BD5" w:themeColor="accent1"/>
              <w:left w:val="single" w:sz="4" w:space="0" w:color="5B9BD5" w:themeColor="accent1"/>
              <w:bottom w:val="single" w:sz="4" w:space="0" w:color="5B9BD5" w:themeColor="accent1"/>
            </w:tcBorders>
            <w:noWrap/>
            <w:hideMark/>
          </w:tcPr>
          <w:p w:rsidR="0037054D" w:rsidRPr="00396C98" w:rsidRDefault="0037054D">
            <w:pPr>
              <w:spacing w:after="0"/>
              <w:jc w:val="both"/>
              <w:rPr>
                <w:rFonts w:asciiTheme="minorHAnsi" w:hAnsiTheme="minorHAnsi" w:cstheme="minorHAnsi"/>
                <w:sz w:val="18"/>
                <w:szCs w:val="18"/>
              </w:rPr>
            </w:pPr>
            <w:r w:rsidRPr="00396C98">
              <w:rPr>
                <w:rFonts w:asciiTheme="minorHAnsi" w:hAnsiTheme="minorHAnsi" w:cstheme="minorHAnsi"/>
                <w:sz w:val="18"/>
                <w:szCs w:val="18"/>
              </w:rPr>
              <w:t>Country</w:t>
            </w:r>
          </w:p>
        </w:tc>
        <w:tc>
          <w:tcPr>
            <w:tcW w:w="714" w:type="dxa"/>
            <w:tcBorders>
              <w:top w:val="single" w:sz="4" w:space="0" w:color="5B9BD5" w:themeColor="accent1"/>
            </w:tcBorders>
            <w:noWrap/>
            <w:hideMark/>
          </w:tcPr>
          <w:p w:rsidR="0037054D" w:rsidRPr="00396C98" w:rsidRDefault="0037054D">
            <w:pPr>
              <w:spacing w:after="0"/>
              <w:jc w:val="center"/>
              <w:rPr>
                <w:rFonts w:asciiTheme="minorHAnsi" w:hAnsiTheme="minorHAnsi" w:cstheme="minorHAnsi"/>
                <w:sz w:val="18"/>
                <w:szCs w:val="18"/>
              </w:rPr>
            </w:pPr>
            <w:r w:rsidRPr="00396C98">
              <w:rPr>
                <w:rFonts w:asciiTheme="minorHAnsi" w:hAnsiTheme="minorHAnsi" w:cstheme="minorHAnsi"/>
                <w:sz w:val="18"/>
                <w:szCs w:val="18"/>
              </w:rPr>
              <w:t>Year</w:t>
            </w:r>
          </w:p>
        </w:tc>
        <w:tc>
          <w:tcPr>
            <w:tcW w:w="1141" w:type="dxa"/>
            <w:tcBorders>
              <w:top w:val="single" w:sz="4" w:space="0" w:color="5B9BD5" w:themeColor="accent1"/>
            </w:tcBorders>
            <w:noWrap/>
            <w:hideMark/>
          </w:tcPr>
          <w:p w:rsidR="0037054D" w:rsidRPr="00396C98" w:rsidRDefault="0037054D">
            <w:pPr>
              <w:spacing w:after="0"/>
              <w:jc w:val="center"/>
              <w:rPr>
                <w:rFonts w:asciiTheme="minorHAnsi" w:hAnsiTheme="minorHAnsi" w:cstheme="minorHAnsi"/>
                <w:sz w:val="18"/>
                <w:szCs w:val="18"/>
              </w:rPr>
            </w:pPr>
            <w:r w:rsidRPr="00396C98">
              <w:rPr>
                <w:rFonts w:asciiTheme="minorHAnsi" w:hAnsiTheme="minorHAnsi" w:cstheme="minorHAnsi"/>
                <w:sz w:val="18"/>
                <w:szCs w:val="18"/>
              </w:rPr>
              <w:t>Absenteeism</w:t>
            </w:r>
          </w:p>
        </w:tc>
        <w:tc>
          <w:tcPr>
            <w:tcW w:w="1134" w:type="dxa"/>
            <w:tcBorders>
              <w:top w:val="single" w:sz="4" w:space="0" w:color="5B9BD5" w:themeColor="accent1"/>
            </w:tcBorders>
            <w:noWrap/>
            <w:hideMark/>
          </w:tcPr>
          <w:p w:rsidR="0037054D" w:rsidRPr="00396C98" w:rsidRDefault="0037054D">
            <w:pPr>
              <w:spacing w:after="0"/>
              <w:jc w:val="center"/>
              <w:rPr>
                <w:rFonts w:asciiTheme="minorHAnsi" w:hAnsiTheme="minorHAnsi" w:cstheme="minorHAnsi"/>
                <w:sz w:val="18"/>
                <w:szCs w:val="18"/>
              </w:rPr>
            </w:pPr>
            <w:r w:rsidRPr="00396C98">
              <w:rPr>
                <w:rFonts w:asciiTheme="minorHAnsi" w:hAnsiTheme="minorHAnsi" w:cstheme="minorHAnsi"/>
                <w:sz w:val="18"/>
                <w:szCs w:val="18"/>
              </w:rPr>
              <w:t>Presenteeism</w:t>
            </w:r>
          </w:p>
        </w:tc>
        <w:tc>
          <w:tcPr>
            <w:tcW w:w="596" w:type="dxa"/>
            <w:tcBorders>
              <w:top w:val="single" w:sz="4" w:space="0" w:color="5B9BD5" w:themeColor="accent1"/>
              <w:right w:val="single" w:sz="4" w:space="0" w:color="FFFFFF" w:themeColor="background1"/>
            </w:tcBorders>
          </w:tcPr>
          <w:p w:rsidR="0037054D" w:rsidRPr="00396C98" w:rsidRDefault="0037054D">
            <w:pPr>
              <w:spacing w:after="0"/>
              <w:jc w:val="center"/>
              <w:rPr>
                <w:rFonts w:asciiTheme="minorHAnsi" w:hAnsiTheme="minorHAnsi" w:cstheme="minorHAnsi"/>
                <w:sz w:val="18"/>
                <w:szCs w:val="18"/>
              </w:rPr>
            </w:pPr>
            <w:r w:rsidRPr="00396C98">
              <w:rPr>
                <w:rFonts w:asciiTheme="minorHAnsi" w:hAnsiTheme="minorHAnsi" w:cstheme="minorHAnsi"/>
                <w:sz w:val="18"/>
                <w:szCs w:val="18"/>
              </w:rPr>
              <w:t>Total</w:t>
            </w:r>
          </w:p>
        </w:tc>
        <w:tc>
          <w:tcPr>
            <w:tcW w:w="1247" w:type="dxa"/>
            <w:tcBorders>
              <w:top w:val="single" w:sz="4" w:space="0" w:color="5B9BD5" w:themeColor="accent1"/>
              <w:left w:val="single" w:sz="4" w:space="0" w:color="FFFFFF" w:themeColor="background1"/>
              <w:bottom w:val="nil"/>
            </w:tcBorders>
          </w:tcPr>
          <w:p w:rsidR="0037054D" w:rsidRPr="00396C98" w:rsidRDefault="0037054D">
            <w:pPr>
              <w:spacing w:after="0"/>
              <w:rPr>
                <w:rFonts w:asciiTheme="minorHAnsi" w:hAnsiTheme="minorHAnsi" w:cstheme="minorHAnsi"/>
                <w:sz w:val="18"/>
                <w:szCs w:val="18"/>
              </w:rPr>
            </w:pPr>
            <w:r w:rsidRPr="00396C98">
              <w:rPr>
                <w:rFonts w:asciiTheme="minorHAnsi" w:hAnsiTheme="minorHAnsi" w:cstheme="minorHAnsi"/>
                <w:sz w:val="18"/>
                <w:szCs w:val="18"/>
              </w:rPr>
              <w:t>Country</w:t>
            </w:r>
          </w:p>
        </w:tc>
        <w:tc>
          <w:tcPr>
            <w:tcW w:w="655" w:type="dxa"/>
            <w:tcBorders>
              <w:top w:val="single" w:sz="4" w:space="0" w:color="5B9BD5" w:themeColor="accent1"/>
            </w:tcBorders>
          </w:tcPr>
          <w:p w:rsidR="0037054D" w:rsidRPr="00396C98" w:rsidRDefault="0037054D">
            <w:pPr>
              <w:spacing w:after="0"/>
              <w:jc w:val="center"/>
              <w:rPr>
                <w:rFonts w:asciiTheme="minorHAnsi" w:hAnsiTheme="minorHAnsi" w:cstheme="minorHAnsi"/>
                <w:sz w:val="18"/>
                <w:szCs w:val="18"/>
              </w:rPr>
            </w:pPr>
            <w:r w:rsidRPr="00396C98">
              <w:rPr>
                <w:rFonts w:asciiTheme="minorHAnsi" w:hAnsiTheme="minorHAnsi" w:cstheme="minorHAnsi"/>
                <w:sz w:val="18"/>
                <w:szCs w:val="18"/>
              </w:rPr>
              <w:t>Year</w:t>
            </w:r>
          </w:p>
        </w:tc>
        <w:tc>
          <w:tcPr>
            <w:tcW w:w="1181" w:type="dxa"/>
            <w:tcBorders>
              <w:top w:val="single" w:sz="4" w:space="0" w:color="5B9BD5" w:themeColor="accent1"/>
            </w:tcBorders>
          </w:tcPr>
          <w:p w:rsidR="0037054D" w:rsidRPr="00396C98" w:rsidRDefault="0037054D">
            <w:pPr>
              <w:spacing w:after="0"/>
              <w:jc w:val="center"/>
              <w:rPr>
                <w:rFonts w:asciiTheme="minorHAnsi" w:hAnsiTheme="minorHAnsi" w:cstheme="minorHAnsi"/>
                <w:sz w:val="18"/>
                <w:szCs w:val="18"/>
              </w:rPr>
            </w:pPr>
            <w:r w:rsidRPr="00396C98">
              <w:rPr>
                <w:rFonts w:asciiTheme="minorHAnsi" w:hAnsiTheme="minorHAnsi" w:cstheme="minorHAnsi"/>
                <w:sz w:val="18"/>
                <w:szCs w:val="18"/>
              </w:rPr>
              <w:t>Absenteeism</w:t>
            </w:r>
          </w:p>
        </w:tc>
        <w:tc>
          <w:tcPr>
            <w:tcW w:w="1226" w:type="dxa"/>
            <w:tcBorders>
              <w:top w:val="single" w:sz="4" w:space="0" w:color="5B9BD5" w:themeColor="accent1"/>
            </w:tcBorders>
          </w:tcPr>
          <w:p w:rsidR="0037054D" w:rsidRPr="00396C98" w:rsidRDefault="0037054D">
            <w:pPr>
              <w:spacing w:after="0"/>
              <w:jc w:val="center"/>
              <w:rPr>
                <w:rFonts w:asciiTheme="minorHAnsi" w:hAnsiTheme="minorHAnsi" w:cstheme="minorHAnsi"/>
                <w:sz w:val="18"/>
                <w:szCs w:val="18"/>
              </w:rPr>
            </w:pPr>
            <w:r w:rsidRPr="00396C98">
              <w:rPr>
                <w:rFonts w:asciiTheme="minorHAnsi" w:hAnsiTheme="minorHAnsi" w:cstheme="minorHAnsi"/>
                <w:sz w:val="18"/>
                <w:szCs w:val="18"/>
              </w:rPr>
              <w:t>Presenteeism</w:t>
            </w:r>
          </w:p>
        </w:tc>
        <w:tc>
          <w:tcPr>
            <w:tcW w:w="596" w:type="dxa"/>
            <w:tcBorders>
              <w:top w:val="single" w:sz="4" w:space="0" w:color="5B9BD5" w:themeColor="accent1"/>
            </w:tcBorders>
          </w:tcPr>
          <w:p w:rsidR="0037054D" w:rsidRPr="00396C98" w:rsidRDefault="0037054D">
            <w:pPr>
              <w:spacing w:after="0"/>
              <w:jc w:val="center"/>
              <w:rPr>
                <w:rFonts w:asciiTheme="minorHAnsi" w:hAnsiTheme="minorHAnsi" w:cstheme="minorHAnsi"/>
                <w:sz w:val="18"/>
                <w:szCs w:val="18"/>
              </w:rPr>
            </w:pPr>
            <w:r w:rsidRPr="00396C98">
              <w:rPr>
                <w:rFonts w:asciiTheme="minorHAnsi" w:hAnsiTheme="minorHAnsi" w:cstheme="minorHAnsi"/>
                <w:sz w:val="18"/>
                <w:szCs w:val="18"/>
              </w:rPr>
              <w:t>Total</w:t>
            </w:r>
          </w:p>
        </w:tc>
      </w:tr>
      <w:tr w:rsidR="00396C98" w:rsidRPr="00D876EE" w:rsidTr="00396C98">
        <w:trPr>
          <w:cnfStyle w:val="000000100000" w:firstRow="0" w:lastRow="0" w:firstColumn="0" w:lastColumn="0" w:oddVBand="0" w:evenVBand="0" w:oddHBand="1" w:evenHBand="0" w:firstRowFirstColumn="0" w:firstRowLastColumn="0" w:lastRowFirstColumn="0" w:lastRowLastColumn="0"/>
          <w:trHeight w:val="217"/>
        </w:trPr>
        <w:tc>
          <w:tcPr>
            <w:tcW w:w="1088" w:type="dxa"/>
            <w:tcBorders>
              <w:left w:val="single" w:sz="4" w:space="0" w:color="5B9BD5" w:themeColor="accent1"/>
            </w:tcBorders>
            <w:shd w:val="clear" w:color="auto" w:fill="D0CECE" w:themeFill="background2" w:themeFillShade="E6"/>
            <w:noWrap/>
            <w:vAlign w:val="center"/>
          </w:tcPr>
          <w:p w:rsidR="00F60C27" w:rsidRPr="00396C98" w:rsidRDefault="00F60C27" w:rsidP="00F60C27">
            <w:pPr>
              <w:spacing w:after="0"/>
              <w:jc w:val="both"/>
              <w:rPr>
                <w:rFonts w:asciiTheme="minorHAnsi" w:hAnsiTheme="minorHAnsi" w:cstheme="minorHAnsi"/>
                <w:b/>
                <w:color w:val="000000"/>
                <w:sz w:val="18"/>
                <w:szCs w:val="18"/>
              </w:rPr>
            </w:pPr>
            <w:r w:rsidRPr="00396C98">
              <w:rPr>
                <w:rFonts w:asciiTheme="minorHAnsi" w:hAnsiTheme="minorHAnsi" w:cstheme="minorHAnsi"/>
                <w:b/>
                <w:bCs/>
                <w:sz w:val="18"/>
                <w:szCs w:val="18"/>
              </w:rPr>
              <w:t>Jiangsu</w:t>
            </w:r>
          </w:p>
        </w:tc>
        <w:tc>
          <w:tcPr>
            <w:tcW w:w="714" w:type="dxa"/>
            <w:shd w:val="clear" w:color="auto" w:fill="D0CECE" w:themeFill="background2" w:themeFillShade="E6"/>
            <w:noWrap/>
            <w:vAlign w:val="center"/>
          </w:tcPr>
          <w:p w:rsidR="00F60C27" w:rsidRPr="00396C98" w:rsidRDefault="00F60C27" w:rsidP="00F60C27">
            <w:pPr>
              <w:spacing w:after="0"/>
              <w:jc w:val="center"/>
              <w:rPr>
                <w:rFonts w:asciiTheme="minorHAnsi" w:hAnsiTheme="minorHAnsi" w:cstheme="minorHAnsi"/>
                <w:color w:val="000000"/>
                <w:sz w:val="18"/>
                <w:szCs w:val="18"/>
              </w:rPr>
            </w:pPr>
            <w:r w:rsidRPr="00396C98">
              <w:rPr>
                <w:rFonts w:asciiTheme="minorHAnsi" w:hAnsiTheme="minorHAnsi" w:cstheme="minorHAnsi"/>
                <w:color w:val="000000"/>
                <w:sz w:val="18"/>
                <w:szCs w:val="18"/>
              </w:rPr>
              <w:t>2015</w:t>
            </w:r>
          </w:p>
        </w:tc>
        <w:tc>
          <w:tcPr>
            <w:tcW w:w="1141" w:type="dxa"/>
            <w:shd w:val="clear" w:color="auto" w:fill="D0CECE" w:themeFill="background2" w:themeFillShade="E6"/>
            <w:noWrap/>
            <w:vAlign w:val="center"/>
          </w:tcPr>
          <w:p w:rsidR="00F60C27" w:rsidRPr="00396C98" w:rsidRDefault="00F60C27" w:rsidP="00F60C27">
            <w:pPr>
              <w:spacing w:after="0"/>
              <w:jc w:val="center"/>
              <w:rPr>
                <w:rFonts w:asciiTheme="minorHAnsi" w:hAnsiTheme="minorHAnsi" w:cstheme="minorHAnsi"/>
                <w:color w:val="000000"/>
                <w:sz w:val="18"/>
                <w:szCs w:val="18"/>
              </w:rPr>
            </w:pPr>
            <w:r w:rsidRPr="00396C98">
              <w:rPr>
                <w:rFonts w:asciiTheme="minorHAnsi" w:hAnsiTheme="minorHAnsi" w:cstheme="minorHAnsi"/>
                <w:color w:val="000000"/>
                <w:sz w:val="18"/>
                <w:szCs w:val="18"/>
              </w:rPr>
              <w:t>0.80</w:t>
            </w:r>
          </w:p>
        </w:tc>
        <w:tc>
          <w:tcPr>
            <w:tcW w:w="1134" w:type="dxa"/>
            <w:shd w:val="clear" w:color="auto" w:fill="D0CECE" w:themeFill="background2" w:themeFillShade="E6"/>
            <w:noWrap/>
            <w:vAlign w:val="center"/>
          </w:tcPr>
          <w:p w:rsidR="00F60C27" w:rsidRPr="00396C98" w:rsidRDefault="00F60C27" w:rsidP="00F60C27">
            <w:pPr>
              <w:spacing w:after="0"/>
              <w:jc w:val="center"/>
              <w:rPr>
                <w:rFonts w:asciiTheme="minorHAnsi" w:hAnsiTheme="minorHAnsi" w:cstheme="minorHAnsi"/>
                <w:color w:val="000000"/>
                <w:sz w:val="18"/>
                <w:szCs w:val="18"/>
              </w:rPr>
            </w:pPr>
            <w:r w:rsidRPr="00396C98">
              <w:rPr>
                <w:rFonts w:asciiTheme="minorHAnsi" w:hAnsiTheme="minorHAnsi" w:cstheme="minorHAnsi"/>
                <w:color w:val="000000"/>
                <w:sz w:val="18"/>
                <w:szCs w:val="18"/>
              </w:rPr>
              <w:t>2.06</w:t>
            </w:r>
          </w:p>
        </w:tc>
        <w:tc>
          <w:tcPr>
            <w:tcW w:w="596" w:type="dxa"/>
            <w:tcBorders>
              <w:right w:val="single" w:sz="2" w:space="0" w:color="5B9BD5" w:themeColor="accent1"/>
            </w:tcBorders>
            <w:shd w:val="clear" w:color="auto" w:fill="D0CECE" w:themeFill="background2" w:themeFillShade="E6"/>
            <w:vAlign w:val="center"/>
          </w:tcPr>
          <w:p w:rsidR="00F60C27" w:rsidRPr="00396C98" w:rsidRDefault="00F60C27" w:rsidP="00F60C27">
            <w:pPr>
              <w:spacing w:after="0"/>
              <w:jc w:val="center"/>
              <w:rPr>
                <w:rFonts w:asciiTheme="minorHAnsi" w:hAnsiTheme="minorHAnsi" w:cstheme="minorHAnsi"/>
                <w:color w:val="000000"/>
                <w:sz w:val="18"/>
                <w:szCs w:val="18"/>
              </w:rPr>
            </w:pPr>
            <w:r w:rsidRPr="00396C98">
              <w:rPr>
                <w:rFonts w:asciiTheme="minorHAnsi" w:hAnsiTheme="minorHAnsi" w:cstheme="minorHAnsi"/>
                <w:sz w:val="18"/>
                <w:szCs w:val="18"/>
              </w:rPr>
              <w:t>2.86</w:t>
            </w:r>
          </w:p>
        </w:tc>
        <w:tc>
          <w:tcPr>
            <w:tcW w:w="1247" w:type="dxa"/>
            <w:tcBorders>
              <w:top w:val="nil"/>
              <w:left w:val="single" w:sz="2" w:space="0" w:color="5B9BD5" w:themeColor="accent1"/>
            </w:tcBorders>
            <w:vAlign w:val="center"/>
          </w:tcPr>
          <w:p w:rsidR="00F60C27" w:rsidRPr="00396C98" w:rsidRDefault="00F60C27" w:rsidP="00F60C27">
            <w:pPr>
              <w:spacing w:after="0"/>
              <w:jc w:val="both"/>
              <w:rPr>
                <w:rFonts w:asciiTheme="minorHAnsi" w:hAnsiTheme="minorHAnsi" w:cstheme="minorHAnsi"/>
                <w:sz w:val="18"/>
                <w:szCs w:val="18"/>
              </w:rPr>
            </w:pPr>
            <w:r w:rsidRPr="00396C98">
              <w:rPr>
                <w:rFonts w:asciiTheme="minorHAnsi" w:hAnsiTheme="minorHAnsi" w:cstheme="minorHAnsi"/>
                <w:b/>
                <w:bCs/>
                <w:sz w:val="18"/>
                <w:szCs w:val="18"/>
              </w:rPr>
              <w:t>Japan</w:t>
            </w:r>
          </w:p>
        </w:tc>
        <w:tc>
          <w:tcPr>
            <w:tcW w:w="655" w:type="dxa"/>
            <w:vAlign w:val="center"/>
          </w:tcPr>
          <w:p w:rsidR="00F60C27" w:rsidRPr="00396C98" w:rsidRDefault="00F60C27" w:rsidP="00F60C27">
            <w:pPr>
              <w:spacing w:after="0"/>
              <w:jc w:val="center"/>
              <w:rPr>
                <w:rFonts w:asciiTheme="minorHAnsi" w:hAnsiTheme="minorHAnsi" w:cstheme="minorHAnsi"/>
                <w:sz w:val="18"/>
                <w:szCs w:val="18"/>
              </w:rPr>
            </w:pPr>
            <w:r w:rsidRPr="00396C98">
              <w:rPr>
                <w:rFonts w:asciiTheme="minorHAnsi" w:hAnsiTheme="minorHAnsi" w:cstheme="minorHAnsi"/>
                <w:color w:val="000000"/>
                <w:sz w:val="18"/>
                <w:szCs w:val="18"/>
              </w:rPr>
              <w:t>2015</w:t>
            </w:r>
          </w:p>
        </w:tc>
        <w:tc>
          <w:tcPr>
            <w:tcW w:w="1181" w:type="dxa"/>
          </w:tcPr>
          <w:p w:rsidR="00F60C27" w:rsidRPr="00396C98" w:rsidRDefault="00F60C27" w:rsidP="005C37B2">
            <w:pPr>
              <w:spacing w:after="0"/>
              <w:jc w:val="center"/>
              <w:rPr>
                <w:rFonts w:asciiTheme="minorHAnsi" w:hAnsiTheme="minorHAnsi" w:cstheme="minorHAnsi"/>
                <w:sz w:val="18"/>
                <w:szCs w:val="18"/>
              </w:rPr>
            </w:pPr>
            <w:r w:rsidRPr="00396C98">
              <w:rPr>
                <w:rFonts w:asciiTheme="minorHAnsi" w:hAnsiTheme="minorHAnsi" w:cstheme="minorHAnsi"/>
                <w:sz w:val="18"/>
                <w:szCs w:val="18"/>
              </w:rPr>
              <w:t>1.02</w:t>
            </w:r>
          </w:p>
        </w:tc>
        <w:tc>
          <w:tcPr>
            <w:tcW w:w="1226" w:type="dxa"/>
          </w:tcPr>
          <w:p w:rsidR="00F60C27" w:rsidRPr="00396C98" w:rsidRDefault="00F60C27" w:rsidP="005C37B2">
            <w:pPr>
              <w:spacing w:after="0"/>
              <w:jc w:val="center"/>
              <w:rPr>
                <w:rFonts w:asciiTheme="minorHAnsi" w:hAnsiTheme="minorHAnsi" w:cstheme="minorHAnsi"/>
                <w:sz w:val="18"/>
                <w:szCs w:val="18"/>
              </w:rPr>
            </w:pPr>
            <w:r w:rsidRPr="00396C98">
              <w:rPr>
                <w:rFonts w:asciiTheme="minorHAnsi" w:hAnsiTheme="minorHAnsi" w:cstheme="minorHAnsi"/>
                <w:sz w:val="18"/>
                <w:szCs w:val="18"/>
              </w:rPr>
              <w:t>2.80</w:t>
            </w:r>
          </w:p>
        </w:tc>
        <w:tc>
          <w:tcPr>
            <w:tcW w:w="596" w:type="dxa"/>
            <w:vAlign w:val="center"/>
          </w:tcPr>
          <w:p w:rsidR="00F60C27" w:rsidRPr="00396C98" w:rsidRDefault="00F60C27" w:rsidP="00F60C27">
            <w:pPr>
              <w:spacing w:after="0"/>
              <w:jc w:val="right"/>
              <w:rPr>
                <w:rFonts w:asciiTheme="minorHAnsi" w:hAnsiTheme="minorHAnsi" w:cstheme="minorHAnsi"/>
                <w:color w:val="000000"/>
                <w:sz w:val="18"/>
                <w:szCs w:val="18"/>
              </w:rPr>
            </w:pPr>
            <w:r w:rsidRPr="00396C98">
              <w:rPr>
                <w:rFonts w:asciiTheme="minorHAnsi" w:hAnsiTheme="minorHAnsi" w:cstheme="minorHAnsi"/>
                <w:color w:val="000000"/>
                <w:sz w:val="18"/>
                <w:szCs w:val="18"/>
              </w:rPr>
              <w:t>3.82</w:t>
            </w:r>
          </w:p>
        </w:tc>
      </w:tr>
      <w:tr w:rsidR="00396C98" w:rsidRPr="00D876EE" w:rsidTr="00396C98">
        <w:trPr>
          <w:trHeight w:val="217"/>
        </w:trPr>
        <w:tc>
          <w:tcPr>
            <w:tcW w:w="1088" w:type="dxa"/>
            <w:tcBorders>
              <w:top w:val="single" w:sz="4" w:space="0" w:color="5B9BD5" w:themeColor="accent1"/>
              <w:left w:val="single" w:sz="4" w:space="0" w:color="5B9BD5" w:themeColor="accent1"/>
              <w:bottom w:val="single" w:sz="4" w:space="0" w:color="5B9BD5" w:themeColor="accent1"/>
            </w:tcBorders>
            <w:shd w:val="clear" w:color="auto" w:fill="D0CECE" w:themeFill="background2" w:themeFillShade="E6"/>
            <w:noWrap/>
            <w:vAlign w:val="center"/>
          </w:tcPr>
          <w:p w:rsidR="00F60C27" w:rsidRPr="00396C98" w:rsidRDefault="00F60C27" w:rsidP="00F60C27">
            <w:pPr>
              <w:spacing w:after="0"/>
              <w:jc w:val="both"/>
              <w:rPr>
                <w:rFonts w:asciiTheme="minorHAnsi" w:hAnsiTheme="minorHAnsi" w:cstheme="minorHAnsi"/>
                <w:b/>
                <w:color w:val="000000"/>
                <w:sz w:val="18"/>
                <w:szCs w:val="18"/>
              </w:rPr>
            </w:pPr>
            <w:r w:rsidRPr="00396C98">
              <w:rPr>
                <w:rFonts w:asciiTheme="minorHAnsi" w:hAnsiTheme="minorHAnsi" w:cstheme="minorHAnsi"/>
                <w:b/>
                <w:bCs/>
                <w:sz w:val="18"/>
                <w:szCs w:val="18"/>
              </w:rPr>
              <w:t> </w:t>
            </w:r>
          </w:p>
        </w:tc>
        <w:tc>
          <w:tcPr>
            <w:tcW w:w="714" w:type="dxa"/>
            <w:shd w:val="clear" w:color="auto" w:fill="D0CECE" w:themeFill="background2" w:themeFillShade="E6"/>
            <w:noWrap/>
            <w:vAlign w:val="center"/>
          </w:tcPr>
          <w:p w:rsidR="00F60C27" w:rsidRPr="00396C98" w:rsidRDefault="00F60C27" w:rsidP="00F60C27">
            <w:pPr>
              <w:spacing w:after="0"/>
              <w:jc w:val="center"/>
              <w:rPr>
                <w:rFonts w:asciiTheme="minorHAnsi" w:hAnsiTheme="minorHAnsi" w:cstheme="minorHAnsi"/>
                <w:color w:val="000000"/>
                <w:sz w:val="18"/>
                <w:szCs w:val="18"/>
              </w:rPr>
            </w:pPr>
            <w:r w:rsidRPr="00396C98">
              <w:rPr>
                <w:rFonts w:asciiTheme="minorHAnsi" w:hAnsiTheme="minorHAnsi" w:cstheme="minorHAnsi"/>
                <w:color w:val="000000"/>
                <w:sz w:val="18"/>
                <w:szCs w:val="18"/>
              </w:rPr>
              <w:t>2020</w:t>
            </w:r>
          </w:p>
        </w:tc>
        <w:tc>
          <w:tcPr>
            <w:tcW w:w="1141" w:type="dxa"/>
            <w:shd w:val="clear" w:color="auto" w:fill="D0CECE" w:themeFill="background2" w:themeFillShade="E6"/>
            <w:noWrap/>
            <w:vAlign w:val="center"/>
          </w:tcPr>
          <w:p w:rsidR="00F60C27" w:rsidRPr="00396C98" w:rsidRDefault="00F60C27" w:rsidP="00F60C27">
            <w:pPr>
              <w:spacing w:after="0"/>
              <w:jc w:val="center"/>
              <w:rPr>
                <w:rFonts w:asciiTheme="minorHAnsi" w:hAnsiTheme="minorHAnsi" w:cstheme="minorHAnsi"/>
                <w:color w:val="000000"/>
                <w:sz w:val="18"/>
                <w:szCs w:val="18"/>
              </w:rPr>
            </w:pPr>
            <w:r w:rsidRPr="00396C98">
              <w:rPr>
                <w:rFonts w:asciiTheme="minorHAnsi" w:hAnsiTheme="minorHAnsi" w:cstheme="minorHAnsi"/>
                <w:color w:val="000000"/>
                <w:sz w:val="18"/>
                <w:szCs w:val="18"/>
              </w:rPr>
              <w:t>0.83</w:t>
            </w:r>
          </w:p>
        </w:tc>
        <w:tc>
          <w:tcPr>
            <w:tcW w:w="1134" w:type="dxa"/>
            <w:shd w:val="clear" w:color="auto" w:fill="D0CECE" w:themeFill="background2" w:themeFillShade="E6"/>
            <w:noWrap/>
            <w:vAlign w:val="center"/>
          </w:tcPr>
          <w:p w:rsidR="00F60C27" w:rsidRPr="00396C98" w:rsidRDefault="00F60C27" w:rsidP="00F60C27">
            <w:pPr>
              <w:spacing w:after="0"/>
              <w:jc w:val="center"/>
              <w:rPr>
                <w:rFonts w:asciiTheme="minorHAnsi" w:hAnsiTheme="minorHAnsi" w:cstheme="minorHAnsi"/>
                <w:color w:val="000000"/>
                <w:sz w:val="18"/>
                <w:szCs w:val="18"/>
              </w:rPr>
            </w:pPr>
            <w:r w:rsidRPr="00396C98">
              <w:rPr>
                <w:rFonts w:asciiTheme="minorHAnsi" w:hAnsiTheme="minorHAnsi" w:cstheme="minorHAnsi"/>
                <w:color w:val="000000"/>
                <w:sz w:val="18"/>
                <w:szCs w:val="18"/>
              </w:rPr>
              <w:t>2.15</w:t>
            </w:r>
          </w:p>
        </w:tc>
        <w:tc>
          <w:tcPr>
            <w:tcW w:w="596" w:type="dxa"/>
            <w:tcBorders>
              <w:right w:val="single" w:sz="2" w:space="0" w:color="5B9BD5" w:themeColor="accent1"/>
            </w:tcBorders>
            <w:shd w:val="clear" w:color="auto" w:fill="D0CECE" w:themeFill="background2" w:themeFillShade="E6"/>
            <w:vAlign w:val="center"/>
          </w:tcPr>
          <w:p w:rsidR="00F60C27" w:rsidRPr="00396C98" w:rsidRDefault="00F60C27" w:rsidP="00F60C27">
            <w:pPr>
              <w:spacing w:after="0"/>
              <w:jc w:val="center"/>
              <w:rPr>
                <w:rFonts w:asciiTheme="minorHAnsi" w:hAnsiTheme="minorHAnsi" w:cstheme="minorHAnsi"/>
                <w:color w:val="000000"/>
                <w:sz w:val="18"/>
                <w:szCs w:val="18"/>
              </w:rPr>
            </w:pPr>
            <w:r w:rsidRPr="00396C98">
              <w:rPr>
                <w:rFonts w:asciiTheme="minorHAnsi" w:hAnsiTheme="minorHAnsi" w:cstheme="minorHAnsi"/>
                <w:sz w:val="18"/>
                <w:szCs w:val="18"/>
              </w:rPr>
              <w:t>2.98</w:t>
            </w:r>
          </w:p>
        </w:tc>
        <w:tc>
          <w:tcPr>
            <w:tcW w:w="1247" w:type="dxa"/>
            <w:tcBorders>
              <w:top w:val="single" w:sz="4" w:space="0" w:color="5B9BD5" w:themeColor="accent1"/>
              <w:left w:val="single" w:sz="2" w:space="0" w:color="5B9BD5" w:themeColor="accent1"/>
              <w:bottom w:val="single" w:sz="4" w:space="0" w:color="5B9BD5" w:themeColor="accent1"/>
            </w:tcBorders>
            <w:vAlign w:val="center"/>
          </w:tcPr>
          <w:p w:rsidR="00F60C27" w:rsidRPr="00396C98" w:rsidRDefault="00F60C27" w:rsidP="00F60C27">
            <w:pPr>
              <w:spacing w:after="0"/>
              <w:jc w:val="both"/>
              <w:rPr>
                <w:rFonts w:asciiTheme="minorHAnsi" w:hAnsiTheme="minorHAnsi" w:cstheme="minorHAnsi"/>
                <w:sz w:val="18"/>
                <w:szCs w:val="18"/>
              </w:rPr>
            </w:pPr>
            <w:r w:rsidRPr="00396C98">
              <w:rPr>
                <w:rFonts w:asciiTheme="minorHAnsi" w:hAnsiTheme="minorHAnsi" w:cstheme="minorHAnsi"/>
                <w:sz w:val="18"/>
                <w:szCs w:val="18"/>
              </w:rPr>
              <w:t> </w:t>
            </w:r>
          </w:p>
        </w:tc>
        <w:tc>
          <w:tcPr>
            <w:tcW w:w="655" w:type="dxa"/>
            <w:vAlign w:val="center"/>
          </w:tcPr>
          <w:p w:rsidR="00F60C27" w:rsidRPr="00396C98" w:rsidRDefault="00F60C27" w:rsidP="00F60C27">
            <w:pPr>
              <w:spacing w:after="0"/>
              <w:jc w:val="center"/>
              <w:rPr>
                <w:rFonts w:asciiTheme="minorHAnsi" w:hAnsiTheme="minorHAnsi" w:cstheme="minorHAnsi"/>
                <w:sz w:val="18"/>
                <w:szCs w:val="18"/>
              </w:rPr>
            </w:pPr>
            <w:r w:rsidRPr="00396C98">
              <w:rPr>
                <w:rFonts w:asciiTheme="minorHAnsi" w:hAnsiTheme="minorHAnsi" w:cstheme="minorHAnsi"/>
                <w:color w:val="000000"/>
                <w:sz w:val="18"/>
                <w:szCs w:val="18"/>
              </w:rPr>
              <w:t>2020</w:t>
            </w:r>
          </w:p>
        </w:tc>
        <w:tc>
          <w:tcPr>
            <w:tcW w:w="1181" w:type="dxa"/>
          </w:tcPr>
          <w:p w:rsidR="00F60C27" w:rsidRPr="00396C98" w:rsidRDefault="00F60C27" w:rsidP="005C37B2">
            <w:pPr>
              <w:spacing w:after="0"/>
              <w:jc w:val="center"/>
              <w:rPr>
                <w:rFonts w:asciiTheme="minorHAnsi" w:hAnsiTheme="minorHAnsi" w:cstheme="minorHAnsi"/>
                <w:sz w:val="18"/>
                <w:szCs w:val="18"/>
              </w:rPr>
            </w:pPr>
            <w:r w:rsidRPr="00396C98">
              <w:rPr>
                <w:rFonts w:asciiTheme="minorHAnsi" w:hAnsiTheme="minorHAnsi" w:cstheme="minorHAnsi"/>
                <w:sz w:val="18"/>
                <w:szCs w:val="18"/>
              </w:rPr>
              <w:t>1.04</w:t>
            </w:r>
          </w:p>
        </w:tc>
        <w:tc>
          <w:tcPr>
            <w:tcW w:w="1226" w:type="dxa"/>
          </w:tcPr>
          <w:p w:rsidR="00F60C27" w:rsidRPr="00396C98" w:rsidRDefault="00F60C27" w:rsidP="005C37B2">
            <w:pPr>
              <w:spacing w:after="0"/>
              <w:jc w:val="center"/>
              <w:rPr>
                <w:rFonts w:asciiTheme="minorHAnsi" w:hAnsiTheme="minorHAnsi" w:cstheme="minorHAnsi"/>
                <w:sz w:val="18"/>
                <w:szCs w:val="18"/>
              </w:rPr>
            </w:pPr>
            <w:r w:rsidRPr="00396C98">
              <w:rPr>
                <w:rFonts w:asciiTheme="minorHAnsi" w:hAnsiTheme="minorHAnsi" w:cstheme="minorHAnsi"/>
                <w:sz w:val="18"/>
                <w:szCs w:val="18"/>
              </w:rPr>
              <w:t>2.88</w:t>
            </w:r>
          </w:p>
        </w:tc>
        <w:tc>
          <w:tcPr>
            <w:tcW w:w="596" w:type="dxa"/>
            <w:vAlign w:val="center"/>
          </w:tcPr>
          <w:p w:rsidR="00F60C27" w:rsidRPr="00396C98" w:rsidRDefault="00F60C27" w:rsidP="00F60C27">
            <w:pPr>
              <w:spacing w:after="0"/>
              <w:jc w:val="right"/>
              <w:rPr>
                <w:rFonts w:asciiTheme="minorHAnsi" w:hAnsiTheme="minorHAnsi" w:cstheme="minorHAnsi"/>
                <w:color w:val="000000"/>
                <w:sz w:val="18"/>
                <w:szCs w:val="18"/>
              </w:rPr>
            </w:pPr>
            <w:r w:rsidRPr="00396C98">
              <w:rPr>
                <w:rFonts w:asciiTheme="minorHAnsi" w:hAnsiTheme="minorHAnsi" w:cstheme="minorHAnsi"/>
                <w:color w:val="000000"/>
                <w:sz w:val="18"/>
                <w:szCs w:val="18"/>
              </w:rPr>
              <w:t>3.92</w:t>
            </w:r>
          </w:p>
        </w:tc>
      </w:tr>
      <w:tr w:rsidR="00396C98" w:rsidRPr="00D876EE" w:rsidTr="00396C98">
        <w:trPr>
          <w:cnfStyle w:val="000000100000" w:firstRow="0" w:lastRow="0" w:firstColumn="0" w:lastColumn="0" w:oddVBand="0" w:evenVBand="0" w:oddHBand="1" w:evenHBand="0" w:firstRowFirstColumn="0" w:firstRowLastColumn="0" w:lastRowFirstColumn="0" w:lastRowLastColumn="0"/>
          <w:trHeight w:val="217"/>
        </w:trPr>
        <w:tc>
          <w:tcPr>
            <w:tcW w:w="1088" w:type="dxa"/>
            <w:tcBorders>
              <w:left w:val="single" w:sz="4" w:space="0" w:color="5B9BD5" w:themeColor="accent1"/>
            </w:tcBorders>
            <w:shd w:val="clear" w:color="auto" w:fill="D0CECE" w:themeFill="background2" w:themeFillShade="E6"/>
            <w:noWrap/>
            <w:vAlign w:val="center"/>
          </w:tcPr>
          <w:p w:rsidR="00F60C27" w:rsidRPr="00396C98" w:rsidRDefault="00F60C27" w:rsidP="00F60C27">
            <w:pPr>
              <w:spacing w:after="0"/>
              <w:jc w:val="both"/>
              <w:rPr>
                <w:rFonts w:asciiTheme="minorHAnsi" w:hAnsiTheme="minorHAnsi" w:cstheme="minorHAnsi"/>
                <w:b/>
                <w:color w:val="000000"/>
                <w:sz w:val="18"/>
                <w:szCs w:val="18"/>
              </w:rPr>
            </w:pPr>
            <w:r w:rsidRPr="00396C98">
              <w:rPr>
                <w:rFonts w:asciiTheme="minorHAnsi" w:hAnsiTheme="minorHAnsi" w:cstheme="minorHAnsi"/>
                <w:b/>
                <w:bCs/>
                <w:sz w:val="18"/>
                <w:szCs w:val="18"/>
              </w:rPr>
              <w:t> </w:t>
            </w:r>
          </w:p>
        </w:tc>
        <w:tc>
          <w:tcPr>
            <w:tcW w:w="714" w:type="dxa"/>
            <w:shd w:val="clear" w:color="auto" w:fill="D0CECE" w:themeFill="background2" w:themeFillShade="E6"/>
            <w:noWrap/>
            <w:vAlign w:val="center"/>
          </w:tcPr>
          <w:p w:rsidR="00F60C27" w:rsidRPr="00396C98" w:rsidRDefault="00F60C27" w:rsidP="00F60C27">
            <w:pPr>
              <w:spacing w:after="0"/>
              <w:jc w:val="center"/>
              <w:rPr>
                <w:rFonts w:asciiTheme="minorHAnsi" w:hAnsiTheme="minorHAnsi" w:cstheme="minorHAnsi"/>
                <w:color w:val="000000"/>
                <w:sz w:val="18"/>
                <w:szCs w:val="18"/>
              </w:rPr>
            </w:pPr>
            <w:r w:rsidRPr="00396C98">
              <w:rPr>
                <w:rFonts w:asciiTheme="minorHAnsi" w:hAnsiTheme="minorHAnsi" w:cstheme="minorHAnsi"/>
                <w:color w:val="000000"/>
                <w:sz w:val="18"/>
                <w:szCs w:val="18"/>
              </w:rPr>
              <w:t>2025</w:t>
            </w:r>
          </w:p>
        </w:tc>
        <w:tc>
          <w:tcPr>
            <w:tcW w:w="1141" w:type="dxa"/>
            <w:shd w:val="clear" w:color="auto" w:fill="D0CECE" w:themeFill="background2" w:themeFillShade="E6"/>
            <w:noWrap/>
            <w:vAlign w:val="center"/>
          </w:tcPr>
          <w:p w:rsidR="00F60C27" w:rsidRPr="00396C98" w:rsidRDefault="00F60C27" w:rsidP="00F60C27">
            <w:pPr>
              <w:spacing w:after="0"/>
              <w:jc w:val="center"/>
              <w:rPr>
                <w:rFonts w:asciiTheme="minorHAnsi" w:hAnsiTheme="minorHAnsi" w:cstheme="minorHAnsi"/>
                <w:color w:val="000000"/>
                <w:sz w:val="18"/>
                <w:szCs w:val="18"/>
              </w:rPr>
            </w:pPr>
            <w:r w:rsidRPr="00396C98">
              <w:rPr>
                <w:rFonts w:asciiTheme="minorHAnsi" w:hAnsiTheme="minorHAnsi" w:cstheme="minorHAnsi"/>
                <w:color w:val="000000"/>
                <w:sz w:val="18"/>
                <w:szCs w:val="18"/>
              </w:rPr>
              <w:t>0.85</w:t>
            </w:r>
          </w:p>
        </w:tc>
        <w:tc>
          <w:tcPr>
            <w:tcW w:w="1134" w:type="dxa"/>
            <w:shd w:val="clear" w:color="auto" w:fill="D0CECE" w:themeFill="background2" w:themeFillShade="E6"/>
            <w:noWrap/>
            <w:vAlign w:val="center"/>
          </w:tcPr>
          <w:p w:rsidR="00F60C27" w:rsidRPr="00396C98" w:rsidRDefault="00F60C27" w:rsidP="00F60C27">
            <w:pPr>
              <w:spacing w:after="0"/>
              <w:jc w:val="center"/>
              <w:rPr>
                <w:rFonts w:asciiTheme="minorHAnsi" w:hAnsiTheme="minorHAnsi" w:cstheme="minorHAnsi"/>
                <w:color w:val="000000"/>
                <w:sz w:val="18"/>
                <w:szCs w:val="18"/>
              </w:rPr>
            </w:pPr>
            <w:r w:rsidRPr="00396C98">
              <w:rPr>
                <w:rFonts w:asciiTheme="minorHAnsi" w:hAnsiTheme="minorHAnsi" w:cstheme="minorHAnsi"/>
                <w:color w:val="000000"/>
                <w:sz w:val="18"/>
                <w:szCs w:val="18"/>
              </w:rPr>
              <w:t>2.25</w:t>
            </w:r>
          </w:p>
        </w:tc>
        <w:tc>
          <w:tcPr>
            <w:tcW w:w="596" w:type="dxa"/>
            <w:tcBorders>
              <w:right w:val="single" w:sz="2" w:space="0" w:color="5B9BD5" w:themeColor="accent1"/>
            </w:tcBorders>
            <w:shd w:val="clear" w:color="auto" w:fill="D0CECE" w:themeFill="background2" w:themeFillShade="E6"/>
            <w:vAlign w:val="center"/>
          </w:tcPr>
          <w:p w:rsidR="00F60C27" w:rsidRPr="00396C98" w:rsidRDefault="00F60C27" w:rsidP="00F60C27">
            <w:pPr>
              <w:spacing w:after="0"/>
              <w:jc w:val="center"/>
              <w:rPr>
                <w:rFonts w:asciiTheme="minorHAnsi" w:hAnsiTheme="minorHAnsi" w:cstheme="minorHAnsi"/>
                <w:color w:val="000000"/>
                <w:sz w:val="18"/>
                <w:szCs w:val="18"/>
              </w:rPr>
            </w:pPr>
            <w:r w:rsidRPr="00396C98">
              <w:rPr>
                <w:rFonts w:asciiTheme="minorHAnsi" w:hAnsiTheme="minorHAnsi" w:cstheme="minorHAnsi"/>
                <w:sz w:val="18"/>
                <w:szCs w:val="18"/>
              </w:rPr>
              <w:t>3.10</w:t>
            </w:r>
          </w:p>
        </w:tc>
        <w:tc>
          <w:tcPr>
            <w:tcW w:w="1247" w:type="dxa"/>
            <w:tcBorders>
              <w:left w:val="single" w:sz="2" w:space="0" w:color="5B9BD5" w:themeColor="accent1"/>
            </w:tcBorders>
            <w:vAlign w:val="center"/>
          </w:tcPr>
          <w:p w:rsidR="00F60C27" w:rsidRPr="00396C98" w:rsidRDefault="00F60C27" w:rsidP="00F60C27">
            <w:pPr>
              <w:spacing w:after="0"/>
              <w:jc w:val="both"/>
              <w:rPr>
                <w:rFonts w:asciiTheme="minorHAnsi" w:hAnsiTheme="minorHAnsi" w:cstheme="minorHAnsi"/>
                <w:sz w:val="18"/>
                <w:szCs w:val="18"/>
              </w:rPr>
            </w:pPr>
            <w:r w:rsidRPr="00396C98">
              <w:rPr>
                <w:rFonts w:asciiTheme="minorHAnsi" w:hAnsiTheme="minorHAnsi" w:cstheme="minorHAnsi"/>
                <w:b/>
                <w:bCs/>
                <w:sz w:val="18"/>
                <w:szCs w:val="18"/>
              </w:rPr>
              <w:t> </w:t>
            </w:r>
          </w:p>
        </w:tc>
        <w:tc>
          <w:tcPr>
            <w:tcW w:w="655" w:type="dxa"/>
            <w:vAlign w:val="center"/>
          </w:tcPr>
          <w:p w:rsidR="00F60C27" w:rsidRPr="00396C98" w:rsidRDefault="00F60C27" w:rsidP="00F60C27">
            <w:pPr>
              <w:spacing w:after="0"/>
              <w:jc w:val="center"/>
              <w:rPr>
                <w:rFonts w:asciiTheme="minorHAnsi" w:hAnsiTheme="minorHAnsi" w:cstheme="minorHAnsi"/>
                <w:sz w:val="18"/>
                <w:szCs w:val="18"/>
              </w:rPr>
            </w:pPr>
            <w:r w:rsidRPr="00396C98">
              <w:rPr>
                <w:rFonts w:asciiTheme="minorHAnsi" w:hAnsiTheme="minorHAnsi" w:cstheme="minorHAnsi"/>
                <w:color w:val="000000"/>
                <w:sz w:val="18"/>
                <w:szCs w:val="18"/>
              </w:rPr>
              <w:t>2025</w:t>
            </w:r>
          </w:p>
        </w:tc>
        <w:tc>
          <w:tcPr>
            <w:tcW w:w="1181" w:type="dxa"/>
          </w:tcPr>
          <w:p w:rsidR="00F60C27" w:rsidRPr="00396C98" w:rsidRDefault="00F60C27" w:rsidP="005C37B2">
            <w:pPr>
              <w:spacing w:after="0"/>
              <w:jc w:val="center"/>
              <w:rPr>
                <w:rFonts w:asciiTheme="minorHAnsi" w:hAnsiTheme="minorHAnsi" w:cstheme="minorHAnsi"/>
                <w:sz w:val="18"/>
                <w:szCs w:val="18"/>
              </w:rPr>
            </w:pPr>
            <w:r w:rsidRPr="00396C98">
              <w:rPr>
                <w:rFonts w:asciiTheme="minorHAnsi" w:hAnsiTheme="minorHAnsi" w:cstheme="minorHAnsi"/>
                <w:sz w:val="18"/>
                <w:szCs w:val="18"/>
              </w:rPr>
              <w:t>1.06</w:t>
            </w:r>
          </w:p>
        </w:tc>
        <w:tc>
          <w:tcPr>
            <w:tcW w:w="1226" w:type="dxa"/>
          </w:tcPr>
          <w:p w:rsidR="00F60C27" w:rsidRPr="00396C98" w:rsidRDefault="00F60C27" w:rsidP="005C37B2">
            <w:pPr>
              <w:spacing w:after="0"/>
              <w:jc w:val="center"/>
              <w:rPr>
                <w:rFonts w:asciiTheme="minorHAnsi" w:hAnsiTheme="minorHAnsi" w:cstheme="minorHAnsi"/>
                <w:sz w:val="18"/>
                <w:szCs w:val="18"/>
              </w:rPr>
            </w:pPr>
            <w:r w:rsidRPr="00396C98">
              <w:rPr>
                <w:rFonts w:asciiTheme="minorHAnsi" w:hAnsiTheme="minorHAnsi" w:cstheme="minorHAnsi"/>
                <w:sz w:val="18"/>
                <w:szCs w:val="18"/>
              </w:rPr>
              <w:t>2.96</w:t>
            </w:r>
          </w:p>
        </w:tc>
        <w:tc>
          <w:tcPr>
            <w:tcW w:w="596" w:type="dxa"/>
            <w:vAlign w:val="center"/>
          </w:tcPr>
          <w:p w:rsidR="00F60C27" w:rsidRPr="00396C98" w:rsidRDefault="00F60C27" w:rsidP="00F60C27">
            <w:pPr>
              <w:spacing w:after="0"/>
              <w:jc w:val="right"/>
              <w:rPr>
                <w:rFonts w:asciiTheme="minorHAnsi" w:hAnsiTheme="minorHAnsi" w:cstheme="minorHAnsi"/>
                <w:color w:val="000000"/>
                <w:sz w:val="18"/>
                <w:szCs w:val="18"/>
              </w:rPr>
            </w:pPr>
            <w:r w:rsidRPr="00396C98">
              <w:rPr>
                <w:rFonts w:asciiTheme="minorHAnsi" w:hAnsiTheme="minorHAnsi" w:cstheme="minorHAnsi"/>
                <w:color w:val="000000"/>
                <w:sz w:val="18"/>
                <w:szCs w:val="18"/>
              </w:rPr>
              <w:t>4.02</w:t>
            </w:r>
          </w:p>
        </w:tc>
      </w:tr>
      <w:tr w:rsidR="00396C98" w:rsidRPr="00D876EE" w:rsidTr="00396C98">
        <w:trPr>
          <w:trHeight w:val="217"/>
        </w:trPr>
        <w:tc>
          <w:tcPr>
            <w:tcW w:w="1088" w:type="dxa"/>
            <w:tcBorders>
              <w:top w:val="single" w:sz="4" w:space="0" w:color="5B9BD5" w:themeColor="accent1"/>
              <w:left w:val="single" w:sz="4" w:space="0" w:color="5B9BD5" w:themeColor="accent1"/>
              <w:bottom w:val="single" w:sz="4" w:space="0" w:color="5B9BD5" w:themeColor="accent1"/>
            </w:tcBorders>
            <w:shd w:val="clear" w:color="auto" w:fill="D0CECE" w:themeFill="background2" w:themeFillShade="E6"/>
            <w:noWrap/>
            <w:vAlign w:val="center"/>
          </w:tcPr>
          <w:p w:rsidR="00F60C27" w:rsidRPr="00396C98" w:rsidRDefault="00F60C27" w:rsidP="00F60C27">
            <w:pPr>
              <w:spacing w:after="0"/>
              <w:jc w:val="both"/>
              <w:rPr>
                <w:rFonts w:asciiTheme="minorHAnsi" w:hAnsiTheme="minorHAnsi" w:cstheme="minorHAnsi"/>
                <w:b/>
                <w:color w:val="000000"/>
                <w:sz w:val="18"/>
                <w:szCs w:val="18"/>
              </w:rPr>
            </w:pPr>
            <w:r w:rsidRPr="00396C98">
              <w:rPr>
                <w:rFonts w:asciiTheme="minorHAnsi" w:hAnsiTheme="minorHAnsi" w:cstheme="minorHAnsi"/>
                <w:b/>
                <w:bCs/>
                <w:sz w:val="18"/>
                <w:szCs w:val="18"/>
              </w:rPr>
              <w:t> </w:t>
            </w:r>
          </w:p>
        </w:tc>
        <w:tc>
          <w:tcPr>
            <w:tcW w:w="714" w:type="dxa"/>
            <w:shd w:val="clear" w:color="auto" w:fill="D0CECE" w:themeFill="background2" w:themeFillShade="E6"/>
            <w:noWrap/>
            <w:vAlign w:val="center"/>
          </w:tcPr>
          <w:p w:rsidR="00F60C27" w:rsidRPr="00396C98" w:rsidRDefault="00F60C27" w:rsidP="00F60C27">
            <w:pPr>
              <w:spacing w:after="0"/>
              <w:jc w:val="center"/>
              <w:rPr>
                <w:rFonts w:asciiTheme="minorHAnsi" w:hAnsiTheme="minorHAnsi" w:cstheme="minorHAnsi"/>
                <w:color w:val="000000"/>
                <w:sz w:val="18"/>
                <w:szCs w:val="18"/>
              </w:rPr>
            </w:pPr>
            <w:r w:rsidRPr="00396C98">
              <w:rPr>
                <w:rFonts w:asciiTheme="minorHAnsi" w:hAnsiTheme="minorHAnsi" w:cstheme="minorHAnsi"/>
                <w:color w:val="000000"/>
                <w:sz w:val="18"/>
                <w:szCs w:val="18"/>
              </w:rPr>
              <w:t>2030</w:t>
            </w:r>
          </w:p>
        </w:tc>
        <w:tc>
          <w:tcPr>
            <w:tcW w:w="1141" w:type="dxa"/>
            <w:shd w:val="clear" w:color="auto" w:fill="D0CECE" w:themeFill="background2" w:themeFillShade="E6"/>
            <w:noWrap/>
            <w:vAlign w:val="center"/>
          </w:tcPr>
          <w:p w:rsidR="00F60C27" w:rsidRPr="00396C98" w:rsidRDefault="00F60C27" w:rsidP="00F60C27">
            <w:pPr>
              <w:spacing w:after="0"/>
              <w:jc w:val="center"/>
              <w:rPr>
                <w:rFonts w:asciiTheme="minorHAnsi" w:hAnsiTheme="minorHAnsi" w:cstheme="minorHAnsi"/>
                <w:color w:val="000000"/>
                <w:sz w:val="18"/>
                <w:szCs w:val="18"/>
              </w:rPr>
            </w:pPr>
            <w:r w:rsidRPr="00396C98">
              <w:rPr>
                <w:rFonts w:asciiTheme="minorHAnsi" w:hAnsiTheme="minorHAnsi" w:cstheme="minorHAnsi"/>
                <w:color w:val="000000"/>
                <w:sz w:val="18"/>
                <w:szCs w:val="18"/>
              </w:rPr>
              <w:t>0.88</w:t>
            </w:r>
          </w:p>
        </w:tc>
        <w:tc>
          <w:tcPr>
            <w:tcW w:w="1134" w:type="dxa"/>
            <w:shd w:val="clear" w:color="auto" w:fill="D0CECE" w:themeFill="background2" w:themeFillShade="E6"/>
            <w:noWrap/>
            <w:vAlign w:val="center"/>
          </w:tcPr>
          <w:p w:rsidR="00F60C27" w:rsidRPr="00396C98" w:rsidRDefault="00F60C27" w:rsidP="00F60C27">
            <w:pPr>
              <w:spacing w:after="0"/>
              <w:jc w:val="center"/>
              <w:rPr>
                <w:rFonts w:asciiTheme="minorHAnsi" w:hAnsiTheme="minorHAnsi" w:cstheme="minorHAnsi"/>
                <w:color w:val="000000"/>
                <w:sz w:val="18"/>
                <w:szCs w:val="18"/>
              </w:rPr>
            </w:pPr>
            <w:r w:rsidRPr="00396C98">
              <w:rPr>
                <w:rFonts w:asciiTheme="minorHAnsi" w:hAnsiTheme="minorHAnsi" w:cstheme="minorHAnsi"/>
                <w:color w:val="000000"/>
                <w:sz w:val="18"/>
                <w:szCs w:val="18"/>
              </w:rPr>
              <w:t>2.36</w:t>
            </w:r>
          </w:p>
        </w:tc>
        <w:tc>
          <w:tcPr>
            <w:tcW w:w="596" w:type="dxa"/>
            <w:tcBorders>
              <w:right w:val="single" w:sz="2" w:space="0" w:color="5B9BD5" w:themeColor="accent1"/>
            </w:tcBorders>
            <w:shd w:val="clear" w:color="auto" w:fill="D0CECE" w:themeFill="background2" w:themeFillShade="E6"/>
            <w:vAlign w:val="center"/>
          </w:tcPr>
          <w:p w:rsidR="00F60C27" w:rsidRPr="00396C98" w:rsidRDefault="00F60C27" w:rsidP="00F60C27">
            <w:pPr>
              <w:spacing w:after="0"/>
              <w:jc w:val="center"/>
              <w:rPr>
                <w:rFonts w:asciiTheme="minorHAnsi" w:hAnsiTheme="minorHAnsi" w:cstheme="minorHAnsi"/>
                <w:color w:val="000000"/>
                <w:sz w:val="18"/>
                <w:szCs w:val="18"/>
              </w:rPr>
            </w:pPr>
            <w:r w:rsidRPr="00396C98">
              <w:rPr>
                <w:rFonts w:asciiTheme="minorHAnsi" w:hAnsiTheme="minorHAnsi" w:cstheme="minorHAnsi"/>
                <w:sz w:val="18"/>
                <w:szCs w:val="18"/>
              </w:rPr>
              <w:t>3.23</w:t>
            </w:r>
          </w:p>
        </w:tc>
        <w:tc>
          <w:tcPr>
            <w:tcW w:w="1247" w:type="dxa"/>
            <w:tcBorders>
              <w:top w:val="single" w:sz="4" w:space="0" w:color="5B9BD5" w:themeColor="accent1"/>
              <w:left w:val="single" w:sz="2" w:space="0" w:color="5B9BD5" w:themeColor="accent1"/>
              <w:bottom w:val="single" w:sz="4" w:space="0" w:color="5B9BD5" w:themeColor="accent1"/>
            </w:tcBorders>
            <w:vAlign w:val="center"/>
          </w:tcPr>
          <w:p w:rsidR="00F60C27" w:rsidRPr="00396C98" w:rsidRDefault="00F60C27" w:rsidP="00F60C27">
            <w:pPr>
              <w:spacing w:after="0"/>
              <w:jc w:val="both"/>
              <w:rPr>
                <w:rFonts w:asciiTheme="minorHAnsi" w:hAnsiTheme="minorHAnsi" w:cstheme="minorHAnsi"/>
                <w:sz w:val="18"/>
                <w:szCs w:val="18"/>
              </w:rPr>
            </w:pPr>
            <w:r w:rsidRPr="00396C98">
              <w:rPr>
                <w:rFonts w:asciiTheme="minorHAnsi" w:hAnsiTheme="minorHAnsi" w:cstheme="minorHAnsi"/>
                <w:b/>
                <w:bCs/>
                <w:sz w:val="18"/>
                <w:szCs w:val="18"/>
              </w:rPr>
              <w:t> </w:t>
            </w:r>
          </w:p>
        </w:tc>
        <w:tc>
          <w:tcPr>
            <w:tcW w:w="655" w:type="dxa"/>
            <w:vAlign w:val="center"/>
          </w:tcPr>
          <w:p w:rsidR="00F60C27" w:rsidRPr="00396C98" w:rsidRDefault="00F60C27" w:rsidP="00F60C27">
            <w:pPr>
              <w:spacing w:after="0"/>
              <w:jc w:val="center"/>
              <w:rPr>
                <w:rFonts w:asciiTheme="minorHAnsi" w:hAnsiTheme="minorHAnsi" w:cstheme="minorHAnsi"/>
                <w:sz w:val="18"/>
                <w:szCs w:val="18"/>
              </w:rPr>
            </w:pPr>
            <w:r w:rsidRPr="00396C98">
              <w:rPr>
                <w:rFonts w:asciiTheme="minorHAnsi" w:hAnsiTheme="minorHAnsi" w:cstheme="minorHAnsi"/>
                <w:color w:val="000000"/>
                <w:sz w:val="18"/>
                <w:szCs w:val="18"/>
              </w:rPr>
              <w:t>2030</w:t>
            </w:r>
          </w:p>
        </w:tc>
        <w:tc>
          <w:tcPr>
            <w:tcW w:w="1181" w:type="dxa"/>
          </w:tcPr>
          <w:p w:rsidR="00F60C27" w:rsidRPr="00396C98" w:rsidRDefault="00F60C27" w:rsidP="005C37B2">
            <w:pPr>
              <w:spacing w:after="0"/>
              <w:jc w:val="center"/>
              <w:rPr>
                <w:rFonts w:asciiTheme="minorHAnsi" w:hAnsiTheme="minorHAnsi" w:cstheme="minorHAnsi"/>
                <w:sz w:val="18"/>
                <w:szCs w:val="18"/>
              </w:rPr>
            </w:pPr>
            <w:r w:rsidRPr="00396C98">
              <w:rPr>
                <w:rFonts w:asciiTheme="minorHAnsi" w:hAnsiTheme="minorHAnsi" w:cstheme="minorHAnsi"/>
                <w:sz w:val="18"/>
                <w:szCs w:val="18"/>
              </w:rPr>
              <w:t>1.07</w:t>
            </w:r>
          </w:p>
        </w:tc>
        <w:tc>
          <w:tcPr>
            <w:tcW w:w="1226" w:type="dxa"/>
          </w:tcPr>
          <w:p w:rsidR="00F60C27" w:rsidRPr="00396C98" w:rsidRDefault="00F60C27" w:rsidP="005C37B2">
            <w:pPr>
              <w:spacing w:after="0"/>
              <w:jc w:val="center"/>
              <w:rPr>
                <w:rFonts w:asciiTheme="minorHAnsi" w:hAnsiTheme="minorHAnsi" w:cstheme="minorHAnsi"/>
                <w:sz w:val="18"/>
                <w:szCs w:val="18"/>
              </w:rPr>
            </w:pPr>
            <w:r w:rsidRPr="00396C98">
              <w:rPr>
                <w:rFonts w:asciiTheme="minorHAnsi" w:hAnsiTheme="minorHAnsi" w:cstheme="minorHAnsi"/>
                <w:sz w:val="18"/>
                <w:szCs w:val="18"/>
              </w:rPr>
              <w:t>3.03</w:t>
            </w:r>
          </w:p>
        </w:tc>
        <w:tc>
          <w:tcPr>
            <w:tcW w:w="596" w:type="dxa"/>
            <w:vAlign w:val="center"/>
          </w:tcPr>
          <w:p w:rsidR="00F60C27" w:rsidRPr="00396C98" w:rsidRDefault="00F60C27" w:rsidP="00F60C27">
            <w:pPr>
              <w:spacing w:after="0"/>
              <w:jc w:val="right"/>
              <w:rPr>
                <w:rFonts w:asciiTheme="minorHAnsi" w:hAnsiTheme="minorHAnsi" w:cstheme="minorHAnsi"/>
                <w:color w:val="000000"/>
                <w:sz w:val="18"/>
                <w:szCs w:val="18"/>
              </w:rPr>
            </w:pPr>
            <w:r w:rsidRPr="00396C98">
              <w:rPr>
                <w:rFonts w:asciiTheme="minorHAnsi" w:hAnsiTheme="minorHAnsi" w:cstheme="minorHAnsi"/>
                <w:color w:val="000000"/>
                <w:sz w:val="18"/>
                <w:szCs w:val="18"/>
              </w:rPr>
              <w:t>4.1</w:t>
            </w:r>
            <w:r w:rsidR="00CD5296" w:rsidRPr="00396C98">
              <w:rPr>
                <w:rFonts w:asciiTheme="minorHAnsi" w:hAnsiTheme="minorHAnsi" w:cstheme="minorHAnsi"/>
                <w:color w:val="000000"/>
                <w:sz w:val="18"/>
                <w:szCs w:val="18"/>
              </w:rPr>
              <w:t>0</w:t>
            </w:r>
          </w:p>
        </w:tc>
      </w:tr>
      <w:tr w:rsidR="00F60C27" w:rsidRPr="00D876EE" w:rsidTr="00396C98">
        <w:trPr>
          <w:cnfStyle w:val="000000100000" w:firstRow="0" w:lastRow="0" w:firstColumn="0" w:lastColumn="0" w:oddVBand="0" w:evenVBand="0" w:oddHBand="1" w:evenHBand="0" w:firstRowFirstColumn="0" w:firstRowLastColumn="0" w:lastRowFirstColumn="0" w:lastRowLastColumn="0"/>
          <w:trHeight w:val="227"/>
        </w:trPr>
        <w:tc>
          <w:tcPr>
            <w:tcW w:w="1088" w:type="dxa"/>
            <w:tcBorders>
              <w:left w:val="single" w:sz="4" w:space="0" w:color="5B9BD5" w:themeColor="accent1"/>
            </w:tcBorders>
            <w:noWrap/>
            <w:vAlign w:val="center"/>
            <w:hideMark/>
          </w:tcPr>
          <w:p w:rsidR="00F60C27" w:rsidRPr="00396C98" w:rsidRDefault="00F60C27" w:rsidP="00F60C27">
            <w:pPr>
              <w:spacing w:after="0"/>
              <w:jc w:val="both"/>
              <w:rPr>
                <w:rFonts w:asciiTheme="minorHAnsi" w:hAnsiTheme="minorHAnsi" w:cstheme="minorHAnsi"/>
                <w:sz w:val="18"/>
                <w:szCs w:val="18"/>
              </w:rPr>
            </w:pPr>
            <w:r w:rsidRPr="00396C98">
              <w:rPr>
                <w:rFonts w:asciiTheme="minorHAnsi" w:hAnsiTheme="minorHAnsi" w:cstheme="minorHAnsi"/>
                <w:b/>
                <w:bCs/>
                <w:sz w:val="18"/>
                <w:szCs w:val="18"/>
              </w:rPr>
              <w:t>Brazil</w:t>
            </w:r>
          </w:p>
        </w:tc>
        <w:tc>
          <w:tcPr>
            <w:tcW w:w="714" w:type="dxa"/>
            <w:noWrap/>
            <w:vAlign w:val="center"/>
            <w:hideMark/>
          </w:tcPr>
          <w:p w:rsidR="00F60C27" w:rsidRPr="00396C98" w:rsidRDefault="00F60C27" w:rsidP="00F60C27">
            <w:pPr>
              <w:spacing w:after="0"/>
              <w:jc w:val="center"/>
              <w:rPr>
                <w:rFonts w:asciiTheme="minorHAnsi" w:hAnsiTheme="minorHAnsi" w:cstheme="minorHAnsi"/>
                <w:sz w:val="18"/>
                <w:szCs w:val="18"/>
              </w:rPr>
            </w:pPr>
            <w:r w:rsidRPr="00396C98">
              <w:rPr>
                <w:rFonts w:asciiTheme="minorHAnsi" w:hAnsiTheme="minorHAnsi" w:cstheme="minorHAnsi"/>
                <w:sz w:val="18"/>
                <w:szCs w:val="18"/>
              </w:rPr>
              <w:t>2015</w:t>
            </w:r>
          </w:p>
        </w:tc>
        <w:tc>
          <w:tcPr>
            <w:tcW w:w="1141" w:type="dxa"/>
            <w:noWrap/>
            <w:hideMark/>
          </w:tcPr>
          <w:p w:rsidR="00F60C27" w:rsidRPr="00396C98" w:rsidRDefault="00F60C27" w:rsidP="005C37B2">
            <w:pPr>
              <w:spacing w:after="0"/>
              <w:jc w:val="center"/>
              <w:rPr>
                <w:rFonts w:asciiTheme="minorHAnsi" w:hAnsiTheme="minorHAnsi" w:cstheme="minorHAnsi"/>
                <w:sz w:val="18"/>
                <w:szCs w:val="18"/>
              </w:rPr>
            </w:pPr>
            <w:r w:rsidRPr="00396C98">
              <w:rPr>
                <w:rFonts w:asciiTheme="minorHAnsi" w:hAnsiTheme="minorHAnsi" w:cstheme="minorHAnsi"/>
                <w:sz w:val="18"/>
                <w:szCs w:val="18"/>
              </w:rPr>
              <w:t>1.54</w:t>
            </w:r>
          </w:p>
        </w:tc>
        <w:tc>
          <w:tcPr>
            <w:tcW w:w="1134" w:type="dxa"/>
            <w:noWrap/>
            <w:hideMark/>
          </w:tcPr>
          <w:p w:rsidR="00F60C27" w:rsidRPr="00396C98" w:rsidRDefault="00F60C27" w:rsidP="005C37B2">
            <w:pPr>
              <w:spacing w:after="0"/>
              <w:jc w:val="center"/>
              <w:rPr>
                <w:rFonts w:asciiTheme="minorHAnsi" w:hAnsiTheme="minorHAnsi" w:cstheme="minorHAnsi"/>
                <w:sz w:val="18"/>
                <w:szCs w:val="18"/>
              </w:rPr>
            </w:pPr>
            <w:r w:rsidRPr="00396C98">
              <w:rPr>
                <w:rFonts w:asciiTheme="minorHAnsi" w:hAnsiTheme="minorHAnsi" w:cstheme="minorHAnsi"/>
                <w:sz w:val="18"/>
                <w:szCs w:val="18"/>
              </w:rPr>
              <w:t>3.54</w:t>
            </w:r>
          </w:p>
        </w:tc>
        <w:tc>
          <w:tcPr>
            <w:tcW w:w="596" w:type="dxa"/>
            <w:tcBorders>
              <w:right w:val="single" w:sz="2" w:space="0" w:color="5B9BD5" w:themeColor="accent1"/>
            </w:tcBorders>
            <w:vAlign w:val="center"/>
          </w:tcPr>
          <w:p w:rsidR="00F60C27" w:rsidRPr="00396C98" w:rsidRDefault="00F60C27" w:rsidP="00F60C27">
            <w:pPr>
              <w:spacing w:after="0"/>
              <w:jc w:val="right"/>
              <w:rPr>
                <w:rFonts w:asciiTheme="minorHAnsi" w:hAnsiTheme="minorHAnsi" w:cstheme="minorHAnsi"/>
                <w:color w:val="000000"/>
                <w:sz w:val="18"/>
                <w:szCs w:val="18"/>
              </w:rPr>
            </w:pPr>
            <w:r w:rsidRPr="00396C98">
              <w:rPr>
                <w:rFonts w:asciiTheme="minorHAnsi" w:hAnsiTheme="minorHAnsi" w:cstheme="minorHAnsi"/>
                <w:color w:val="000000"/>
                <w:sz w:val="18"/>
                <w:szCs w:val="18"/>
              </w:rPr>
              <w:t>5.08</w:t>
            </w:r>
          </w:p>
        </w:tc>
        <w:tc>
          <w:tcPr>
            <w:tcW w:w="1247" w:type="dxa"/>
            <w:tcBorders>
              <w:left w:val="single" w:sz="2" w:space="0" w:color="5B9BD5" w:themeColor="accent1"/>
            </w:tcBorders>
            <w:vAlign w:val="center"/>
          </w:tcPr>
          <w:p w:rsidR="00F60C27" w:rsidRPr="00396C98" w:rsidRDefault="00F60C27" w:rsidP="00F60C27">
            <w:pPr>
              <w:spacing w:after="0"/>
              <w:jc w:val="both"/>
              <w:rPr>
                <w:rFonts w:asciiTheme="minorHAnsi" w:hAnsiTheme="minorHAnsi" w:cstheme="minorHAnsi"/>
                <w:b/>
                <w:color w:val="000000"/>
                <w:sz w:val="18"/>
                <w:szCs w:val="18"/>
              </w:rPr>
            </w:pPr>
            <w:r w:rsidRPr="00396C98">
              <w:rPr>
                <w:rFonts w:asciiTheme="minorHAnsi" w:hAnsiTheme="minorHAnsi" w:cstheme="minorHAnsi"/>
                <w:b/>
                <w:bCs/>
                <w:sz w:val="18"/>
                <w:szCs w:val="18"/>
              </w:rPr>
              <w:t>Malaysia</w:t>
            </w:r>
          </w:p>
        </w:tc>
        <w:tc>
          <w:tcPr>
            <w:tcW w:w="655" w:type="dxa"/>
            <w:vAlign w:val="center"/>
          </w:tcPr>
          <w:p w:rsidR="00F60C27" w:rsidRPr="00396C98" w:rsidRDefault="00F60C27" w:rsidP="00F60C27">
            <w:pPr>
              <w:spacing w:after="0"/>
              <w:jc w:val="center"/>
              <w:rPr>
                <w:rFonts w:asciiTheme="minorHAnsi" w:hAnsiTheme="minorHAnsi" w:cstheme="minorHAnsi"/>
                <w:color w:val="000000"/>
                <w:sz w:val="18"/>
                <w:szCs w:val="18"/>
              </w:rPr>
            </w:pPr>
            <w:r w:rsidRPr="00396C98">
              <w:rPr>
                <w:rFonts w:asciiTheme="minorHAnsi" w:hAnsiTheme="minorHAnsi" w:cstheme="minorHAnsi"/>
                <w:color w:val="000000"/>
                <w:sz w:val="18"/>
                <w:szCs w:val="18"/>
              </w:rPr>
              <w:t>2015</w:t>
            </w:r>
          </w:p>
        </w:tc>
        <w:tc>
          <w:tcPr>
            <w:tcW w:w="1181" w:type="dxa"/>
            <w:vAlign w:val="center"/>
          </w:tcPr>
          <w:p w:rsidR="00F60C27" w:rsidRPr="00396C98" w:rsidRDefault="00F60C27" w:rsidP="00F60C27">
            <w:pPr>
              <w:spacing w:after="0"/>
              <w:jc w:val="center"/>
              <w:rPr>
                <w:rFonts w:asciiTheme="minorHAnsi" w:hAnsiTheme="minorHAnsi" w:cstheme="minorHAnsi"/>
                <w:color w:val="000000"/>
                <w:sz w:val="18"/>
                <w:szCs w:val="18"/>
              </w:rPr>
            </w:pPr>
            <w:r w:rsidRPr="00396C98">
              <w:rPr>
                <w:rFonts w:asciiTheme="minorHAnsi" w:hAnsiTheme="minorHAnsi" w:cstheme="minorHAnsi"/>
                <w:color w:val="000000"/>
                <w:sz w:val="18"/>
                <w:szCs w:val="18"/>
              </w:rPr>
              <w:t>1.39</w:t>
            </w:r>
          </w:p>
        </w:tc>
        <w:tc>
          <w:tcPr>
            <w:tcW w:w="1226" w:type="dxa"/>
            <w:vAlign w:val="center"/>
          </w:tcPr>
          <w:p w:rsidR="00F60C27" w:rsidRPr="00396C98" w:rsidRDefault="00F60C27" w:rsidP="00F60C27">
            <w:pPr>
              <w:spacing w:after="0"/>
              <w:jc w:val="center"/>
              <w:rPr>
                <w:rFonts w:asciiTheme="minorHAnsi" w:hAnsiTheme="minorHAnsi" w:cstheme="minorHAnsi"/>
                <w:color w:val="000000"/>
                <w:sz w:val="18"/>
                <w:szCs w:val="18"/>
              </w:rPr>
            </w:pPr>
            <w:r w:rsidRPr="00396C98">
              <w:rPr>
                <w:rFonts w:asciiTheme="minorHAnsi" w:hAnsiTheme="minorHAnsi" w:cstheme="minorHAnsi"/>
                <w:color w:val="000000"/>
                <w:sz w:val="18"/>
                <w:szCs w:val="18"/>
              </w:rPr>
              <w:t>3.14</w:t>
            </w:r>
          </w:p>
        </w:tc>
        <w:tc>
          <w:tcPr>
            <w:tcW w:w="596" w:type="dxa"/>
            <w:vAlign w:val="center"/>
          </w:tcPr>
          <w:p w:rsidR="00F60C27" w:rsidRPr="00396C98" w:rsidRDefault="00F60C27" w:rsidP="00F60C27">
            <w:pPr>
              <w:spacing w:after="0"/>
              <w:jc w:val="center"/>
              <w:rPr>
                <w:rFonts w:asciiTheme="minorHAnsi" w:hAnsiTheme="minorHAnsi" w:cstheme="minorHAnsi"/>
                <w:color w:val="000000"/>
                <w:sz w:val="18"/>
                <w:szCs w:val="18"/>
              </w:rPr>
            </w:pPr>
            <w:r w:rsidRPr="00396C98">
              <w:rPr>
                <w:rFonts w:asciiTheme="minorHAnsi" w:hAnsiTheme="minorHAnsi" w:cstheme="minorHAnsi"/>
                <w:sz w:val="18"/>
                <w:szCs w:val="18"/>
              </w:rPr>
              <w:t>4.53</w:t>
            </w:r>
          </w:p>
        </w:tc>
      </w:tr>
      <w:tr w:rsidR="00F60C27" w:rsidRPr="00D876EE" w:rsidTr="00396C98">
        <w:trPr>
          <w:trHeight w:val="227"/>
        </w:trPr>
        <w:tc>
          <w:tcPr>
            <w:tcW w:w="1088" w:type="dxa"/>
            <w:tcBorders>
              <w:top w:val="single" w:sz="4" w:space="0" w:color="5B9BD5" w:themeColor="accent1"/>
              <w:left w:val="single" w:sz="4" w:space="0" w:color="5B9BD5" w:themeColor="accent1"/>
              <w:bottom w:val="single" w:sz="4" w:space="0" w:color="5B9BD5" w:themeColor="accent1"/>
            </w:tcBorders>
            <w:noWrap/>
            <w:vAlign w:val="center"/>
            <w:hideMark/>
          </w:tcPr>
          <w:p w:rsidR="00F60C27" w:rsidRPr="00396C98" w:rsidRDefault="00F60C27" w:rsidP="00F60C27">
            <w:pPr>
              <w:spacing w:after="0"/>
              <w:jc w:val="both"/>
              <w:rPr>
                <w:rFonts w:asciiTheme="minorHAnsi" w:hAnsiTheme="minorHAnsi" w:cstheme="minorHAnsi"/>
                <w:sz w:val="18"/>
                <w:szCs w:val="18"/>
              </w:rPr>
            </w:pPr>
            <w:r w:rsidRPr="00396C98">
              <w:rPr>
                <w:rFonts w:asciiTheme="minorHAnsi" w:hAnsiTheme="minorHAnsi" w:cstheme="minorHAnsi"/>
                <w:b/>
                <w:bCs/>
                <w:sz w:val="18"/>
                <w:szCs w:val="18"/>
              </w:rPr>
              <w:t> </w:t>
            </w:r>
          </w:p>
        </w:tc>
        <w:tc>
          <w:tcPr>
            <w:tcW w:w="714" w:type="dxa"/>
            <w:noWrap/>
            <w:vAlign w:val="center"/>
            <w:hideMark/>
          </w:tcPr>
          <w:p w:rsidR="00F60C27" w:rsidRPr="00396C98" w:rsidRDefault="00F60C27" w:rsidP="00F60C27">
            <w:pPr>
              <w:spacing w:after="0"/>
              <w:jc w:val="center"/>
              <w:rPr>
                <w:rFonts w:asciiTheme="minorHAnsi" w:hAnsiTheme="minorHAnsi" w:cstheme="minorHAnsi"/>
                <w:sz w:val="18"/>
                <w:szCs w:val="18"/>
              </w:rPr>
            </w:pPr>
            <w:r w:rsidRPr="00396C98">
              <w:rPr>
                <w:rFonts w:asciiTheme="minorHAnsi" w:hAnsiTheme="minorHAnsi" w:cstheme="minorHAnsi"/>
                <w:sz w:val="18"/>
                <w:szCs w:val="18"/>
              </w:rPr>
              <w:t>2020</w:t>
            </w:r>
          </w:p>
        </w:tc>
        <w:tc>
          <w:tcPr>
            <w:tcW w:w="1141" w:type="dxa"/>
            <w:noWrap/>
            <w:hideMark/>
          </w:tcPr>
          <w:p w:rsidR="00F60C27" w:rsidRPr="00396C98" w:rsidRDefault="00F60C27" w:rsidP="005C37B2">
            <w:pPr>
              <w:spacing w:after="0"/>
              <w:jc w:val="center"/>
              <w:rPr>
                <w:rFonts w:asciiTheme="minorHAnsi" w:hAnsiTheme="minorHAnsi" w:cstheme="minorHAnsi"/>
                <w:sz w:val="18"/>
                <w:szCs w:val="18"/>
              </w:rPr>
            </w:pPr>
            <w:r w:rsidRPr="00396C98">
              <w:rPr>
                <w:rFonts w:asciiTheme="minorHAnsi" w:hAnsiTheme="minorHAnsi" w:cstheme="minorHAnsi"/>
                <w:sz w:val="18"/>
                <w:szCs w:val="18"/>
              </w:rPr>
              <w:t>1.56</w:t>
            </w:r>
          </w:p>
        </w:tc>
        <w:tc>
          <w:tcPr>
            <w:tcW w:w="1134" w:type="dxa"/>
            <w:noWrap/>
            <w:hideMark/>
          </w:tcPr>
          <w:p w:rsidR="00F60C27" w:rsidRPr="00396C98" w:rsidRDefault="00F60C27" w:rsidP="005C37B2">
            <w:pPr>
              <w:spacing w:after="0"/>
              <w:jc w:val="center"/>
              <w:rPr>
                <w:rFonts w:asciiTheme="minorHAnsi" w:hAnsiTheme="minorHAnsi" w:cstheme="minorHAnsi"/>
                <w:sz w:val="18"/>
                <w:szCs w:val="18"/>
              </w:rPr>
            </w:pPr>
            <w:r w:rsidRPr="00396C98">
              <w:rPr>
                <w:rFonts w:asciiTheme="minorHAnsi" w:hAnsiTheme="minorHAnsi" w:cstheme="minorHAnsi"/>
                <w:sz w:val="18"/>
                <w:szCs w:val="18"/>
              </w:rPr>
              <w:t>3.62</w:t>
            </w:r>
          </w:p>
        </w:tc>
        <w:tc>
          <w:tcPr>
            <w:tcW w:w="596" w:type="dxa"/>
            <w:tcBorders>
              <w:right w:val="single" w:sz="2" w:space="0" w:color="5B9BD5" w:themeColor="accent1"/>
            </w:tcBorders>
            <w:vAlign w:val="center"/>
          </w:tcPr>
          <w:p w:rsidR="00F60C27" w:rsidRPr="00396C98" w:rsidRDefault="00F60C27" w:rsidP="00F60C27">
            <w:pPr>
              <w:spacing w:after="0"/>
              <w:jc w:val="right"/>
              <w:rPr>
                <w:rFonts w:asciiTheme="minorHAnsi" w:hAnsiTheme="minorHAnsi" w:cstheme="minorHAnsi"/>
                <w:color w:val="000000"/>
                <w:sz w:val="18"/>
                <w:szCs w:val="18"/>
              </w:rPr>
            </w:pPr>
            <w:r w:rsidRPr="00396C98">
              <w:rPr>
                <w:rFonts w:asciiTheme="minorHAnsi" w:hAnsiTheme="minorHAnsi" w:cstheme="minorHAnsi"/>
                <w:color w:val="000000"/>
                <w:sz w:val="18"/>
                <w:szCs w:val="18"/>
              </w:rPr>
              <w:t>5.18</w:t>
            </w:r>
          </w:p>
        </w:tc>
        <w:tc>
          <w:tcPr>
            <w:tcW w:w="1247" w:type="dxa"/>
            <w:tcBorders>
              <w:top w:val="single" w:sz="4" w:space="0" w:color="5B9BD5" w:themeColor="accent1"/>
              <w:left w:val="single" w:sz="2" w:space="0" w:color="5B9BD5" w:themeColor="accent1"/>
              <w:bottom w:val="single" w:sz="4" w:space="0" w:color="5B9BD5" w:themeColor="accent1"/>
            </w:tcBorders>
            <w:vAlign w:val="center"/>
          </w:tcPr>
          <w:p w:rsidR="00F60C27" w:rsidRPr="00396C98" w:rsidRDefault="00F60C27" w:rsidP="00F60C27">
            <w:pPr>
              <w:spacing w:after="0"/>
              <w:jc w:val="both"/>
              <w:rPr>
                <w:rFonts w:asciiTheme="minorHAnsi" w:hAnsiTheme="minorHAnsi" w:cstheme="minorHAnsi"/>
                <w:b/>
                <w:color w:val="000000"/>
                <w:sz w:val="18"/>
                <w:szCs w:val="18"/>
              </w:rPr>
            </w:pPr>
            <w:r w:rsidRPr="00396C98">
              <w:rPr>
                <w:rFonts w:asciiTheme="minorHAnsi" w:hAnsiTheme="minorHAnsi" w:cstheme="minorHAnsi"/>
                <w:b/>
                <w:bCs/>
                <w:sz w:val="18"/>
                <w:szCs w:val="18"/>
              </w:rPr>
              <w:t> </w:t>
            </w:r>
          </w:p>
        </w:tc>
        <w:tc>
          <w:tcPr>
            <w:tcW w:w="655" w:type="dxa"/>
            <w:vAlign w:val="center"/>
          </w:tcPr>
          <w:p w:rsidR="00F60C27" w:rsidRPr="00396C98" w:rsidRDefault="00F60C27" w:rsidP="00F60C27">
            <w:pPr>
              <w:spacing w:after="0"/>
              <w:jc w:val="center"/>
              <w:rPr>
                <w:rFonts w:asciiTheme="minorHAnsi" w:hAnsiTheme="minorHAnsi" w:cstheme="minorHAnsi"/>
                <w:color w:val="000000"/>
                <w:sz w:val="18"/>
                <w:szCs w:val="18"/>
              </w:rPr>
            </w:pPr>
            <w:r w:rsidRPr="00396C98">
              <w:rPr>
                <w:rFonts w:asciiTheme="minorHAnsi" w:hAnsiTheme="minorHAnsi" w:cstheme="minorHAnsi"/>
                <w:color w:val="000000"/>
                <w:sz w:val="18"/>
                <w:szCs w:val="18"/>
              </w:rPr>
              <w:t>2020</w:t>
            </w:r>
          </w:p>
        </w:tc>
        <w:tc>
          <w:tcPr>
            <w:tcW w:w="1181" w:type="dxa"/>
            <w:vAlign w:val="center"/>
          </w:tcPr>
          <w:p w:rsidR="00F60C27" w:rsidRPr="00396C98" w:rsidRDefault="00F60C27" w:rsidP="00F60C27">
            <w:pPr>
              <w:spacing w:after="0"/>
              <w:jc w:val="center"/>
              <w:rPr>
                <w:rFonts w:asciiTheme="minorHAnsi" w:hAnsiTheme="minorHAnsi" w:cstheme="minorHAnsi"/>
                <w:color w:val="000000"/>
                <w:sz w:val="18"/>
                <w:szCs w:val="18"/>
              </w:rPr>
            </w:pPr>
            <w:r w:rsidRPr="00396C98">
              <w:rPr>
                <w:rFonts w:asciiTheme="minorHAnsi" w:hAnsiTheme="minorHAnsi" w:cstheme="minorHAnsi"/>
                <w:color w:val="000000"/>
                <w:sz w:val="18"/>
                <w:szCs w:val="18"/>
              </w:rPr>
              <w:t>1.41</w:t>
            </w:r>
          </w:p>
        </w:tc>
        <w:tc>
          <w:tcPr>
            <w:tcW w:w="1226" w:type="dxa"/>
            <w:vAlign w:val="center"/>
          </w:tcPr>
          <w:p w:rsidR="00F60C27" w:rsidRPr="00396C98" w:rsidRDefault="00F60C27" w:rsidP="00F60C27">
            <w:pPr>
              <w:spacing w:after="0"/>
              <w:jc w:val="center"/>
              <w:rPr>
                <w:rFonts w:asciiTheme="minorHAnsi" w:hAnsiTheme="minorHAnsi" w:cstheme="minorHAnsi"/>
                <w:color w:val="000000"/>
                <w:sz w:val="18"/>
                <w:szCs w:val="18"/>
              </w:rPr>
            </w:pPr>
            <w:r w:rsidRPr="00396C98">
              <w:rPr>
                <w:rFonts w:asciiTheme="minorHAnsi" w:hAnsiTheme="minorHAnsi" w:cstheme="minorHAnsi"/>
                <w:color w:val="000000"/>
                <w:sz w:val="18"/>
                <w:szCs w:val="18"/>
              </w:rPr>
              <w:t>3.21</w:t>
            </w:r>
          </w:p>
        </w:tc>
        <w:tc>
          <w:tcPr>
            <w:tcW w:w="596" w:type="dxa"/>
            <w:vAlign w:val="center"/>
          </w:tcPr>
          <w:p w:rsidR="00F60C27" w:rsidRPr="00396C98" w:rsidRDefault="00F60C27" w:rsidP="00F60C27">
            <w:pPr>
              <w:spacing w:after="0"/>
              <w:jc w:val="center"/>
              <w:rPr>
                <w:rFonts w:asciiTheme="minorHAnsi" w:hAnsiTheme="minorHAnsi" w:cstheme="minorHAnsi"/>
                <w:color w:val="000000"/>
                <w:sz w:val="18"/>
                <w:szCs w:val="18"/>
              </w:rPr>
            </w:pPr>
            <w:r w:rsidRPr="00396C98">
              <w:rPr>
                <w:rFonts w:asciiTheme="minorHAnsi" w:hAnsiTheme="minorHAnsi" w:cstheme="minorHAnsi"/>
                <w:sz w:val="18"/>
                <w:szCs w:val="18"/>
              </w:rPr>
              <w:t>4.62</w:t>
            </w:r>
          </w:p>
        </w:tc>
      </w:tr>
      <w:tr w:rsidR="00F60C27" w:rsidRPr="00D876EE" w:rsidTr="00396C98">
        <w:trPr>
          <w:cnfStyle w:val="000000100000" w:firstRow="0" w:lastRow="0" w:firstColumn="0" w:lastColumn="0" w:oddVBand="0" w:evenVBand="0" w:oddHBand="1" w:evenHBand="0" w:firstRowFirstColumn="0" w:firstRowLastColumn="0" w:lastRowFirstColumn="0" w:lastRowLastColumn="0"/>
          <w:trHeight w:val="227"/>
        </w:trPr>
        <w:tc>
          <w:tcPr>
            <w:tcW w:w="1088" w:type="dxa"/>
            <w:tcBorders>
              <w:left w:val="single" w:sz="4" w:space="0" w:color="5B9BD5" w:themeColor="accent1"/>
            </w:tcBorders>
            <w:noWrap/>
            <w:vAlign w:val="center"/>
            <w:hideMark/>
          </w:tcPr>
          <w:p w:rsidR="00F60C27" w:rsidRPr="00396C98" w:rsidRDefault="00F60C27" w:rsidP="00F60C27">
            <w:pPr>
              <w:spacing w:after="0"/>
              <w:jc w:val="both"/>
              <w:rPr>
                <w:rFonts w:asciiTheme="minorHAnsi" w:hAnsiTheme="minorHAnsi" w:cstheme="minorHAnsi"/>
                <w:sz w:val="18"/>
                <w:szCs w:val="18"/>
              </w:rPr>
            </w:pPr>
            <w:r w:rsidRPr="00396C98">
              <w:rPr>
                <w:rFonts w:asciiTheme="minorHAnsi" w:hAnsiTheme="minorHAnsi" w:cstheme="minorHAnsi"/>
                <w:b/>
                <w:bCs/>
                <w:sz w:val="18"/>
                <w:szCs w:val="18"/>
              </w:rPr>
              <w:t> </w:t>
            </w:r>
          </w:p>
        </w:tc>
        <w:tc>
          <w:tcPr>
            <w:tcW w:w="714" w:type="dxa"/>
            <w:noWrap/>
            <w:vAlign w:val="center"/>
            <w:hideMark/>
          </w:tcPr>
          <w:p w:rsidR="00F60C27" w:rsidRPr="00396C98" w:rsidRDefault="00F60C27" w:rsidP="00F60C27">
            <w:pPr>
              <w:spacing w:after="0"/>
              <w:jc w:val="center"/>
              <w:rPr>
                <w:rFonts w:asciiTheme="minorHAnsi" w:hAnsiTheme="minorHAnsi" w:cstheme="minorHAnsi"/>
                <w:sz w:val="18"/>
                <w:szCs w:val="18"/>
              </w:rPr>
            </w:pPr>
            <w:r w:rsidRPr="00396C98">
              <w:rPr>
                <w:rFonts w:asciiTheme="minorHAnsi" w:hAnsiTheme="minorHAnsi" w:cstheme="minorHAnsi"/>
                <w:sz w:val="18"/>
                <w:szCs w:val="18"/>
              </w:rPr>
              <w:t>2025</w:t>
            </w:r>
          </w:p>
        </w:tc>
        <w:tc>
          <w:tcPr>
            <w:tcW w:w="1141" w:type="dxa"/>
            <w:noWrap/>
            <w:hideMark/>
          </w:tcPr>
          <w:p w:rsidR="00F60C27" w:rsidRPr="00396C98" w:rsidRDefault="00F60C27" w:rsidP="005C37B2">
            <w:pPr>
              <w:spacing w:after="0"/>
              <w:jc w:val="center"/>
              <w:rPr>
                <w:rFonts w:asciiTheme="minorHAnsi" w:hAnsiTheme="minorHAnsi" w:cstheme="minorHAnsi"/>
                <w:sz w:val="18"/>
                <w:szCs w:val="18"/>
              </w:rPr>
            </w:pPr>
            <w:r w:rsidRPr="00396C98">
              <w:rPr>
                <w:rFonts w:asciiTheme="minorHAnsi" w:hAnsiTheme="minorHAnsi" w:cstheme="minorHAnsi"/>
                <w:sz w:val="18"/>
                <w:szCs w:val="18"/>
              </w:rPr>
              <w:t>1.58</w:t>
            </w:r>
          </w:p>
        </w:tc>
        <w:tc>
          <w:tcPr>
            <w:tcW w:w="1134" w:type="dxa"/>
            <w:noWrap/>
            <w:hideMark/>
          </w:tcPr>
          <w:p w:rsidR="00F60C27" w:rsidRPr="00396C98" w:rsidRDefault="00F60C27" w:rsidP="005C37B2">
            <w:pPr>
              <w:spacing w:after="0"/>
              <w:jc w:val="center"/>
              <w:rPr>
                <w:rFonts w:asciiTheme="minorHAnsi" w:hAnsiTheme="minorHAnsi" w:cstheme="minorHAnsi"/>
                <w:sz w:val="18"/>
                <w:szCs w:val="18"/>
              </w:rPr>
            </w:pPr>
            <w:r w:rsidRPr="00396C98">
              <w:rPr>
                <w:rFonts w:asciiTheme="minorHAnsi" w:hAnsiTheme="minorHAnsi" w:cstheme="minorHAnsi"/>
                <w:sz w:val="18"/>
                <w:szCs w:val="18"/>
              </w:rPr>
              <w:t>3.69</w:t>
            </w:r>
          </w:p>
        </w:tc>
        <w:tc>
          <w:tcPr>
            <w:tcW w:w="596" w:type="dxa"/>
            <w:tcBorders>
              <w:right w:val="single" w:sz="2" w:space="0" w:color="5B9BD5" w:themeColor="accent1"/>
            </w:tcBorders>
            <w:vAlign w:val="center"/>
          </w:tcPr>
          <w:p w:rsidR="00F60C27" w:rsidRPr="00396C98" w:rsidRDefault="00F60C27" w:rsidP="00F60C27">
            <w:pPr>
              <w:spacing w:after="0"/>
              <w:jc w:val="right"/>
              <w:rPr>
                <w:rFonts w:asciiTheme="minorHAnsi" w:hAnsiTheme="minorHAnsi" w:cstheme="minorHAnsi"/>
                <w:color w:val="000000"/>
                <w:sz w:val="18"/>
                <w:szCs w:val="18"/>
              </w:rPr>
            </w:pPr>
            <w:r w:rsidRPr="00396C98">
              <w:rPr>
                <w:rFonts w:asciiTheme="minorHAnsi" w:hAnsiTheme="minorHAnsi" w:cstheme="minorHAnsi"/>
                <w:color w:val="000000"/>
                <w:sz w:val="18"/>
                <w:szCs w:val="18"/>
              </w:rPr>
              <w:t>5.27</w:t>
            </w:r>
          </w:p>
        </w:tc>
        <w:tc>
          <w:tcPr>
            <w:tcW w:w="1247" w:type="dxa"/>
            <w:tcBorders>
              <w:left w:val="single" w:sz="2" w:space="0" w:color="5B9BD5" w:themeColor="accent1"/>
            </w:tcBorders>
            <w:vAlign w:val="center"/>
          </w:tcPr>
          <w:p w:rsidR="00F60C27" w:rsidRPr="00396C98" w:rsidRDefault="00F60C27" w:rsidP="00F60C27">
            <w:pPr>
              <w:spacing w:after="0"/>
              <w:jc w:val="both"/>
              <w:rPr>
                <w:rFonts w:asciiTheme="minorHAnsi" w:hAnsiTheme="minorHAnsi" w:cstheme="minorHAnsi"/>
                <w:b/>
                <w:color w:val="000000"/>
                <w:sz w:val="18"/>
                <w:szCs w:val="18"/>
              </w:rPr>
            </w:pPr>
            <w:r w:rsidRPr="00396C98">
              <w:rPr>
                <w:rFonts w:asciiTheme="minorHAnsi" w:hAnsiTheme="minorHAnsi" w:cstheme="minorHAnsi"/>
                <w:b/>
                <w:bCs/>
                <w:sz w:val="18"/>
                <w:szCs w:val="18"/>
              </w:rPr>
              <w:t> </w:t>
            </w:r>
          </w:p>
        </w:tc>
        <w:tc>
          <w:tcPr>
            <w:tcW w:w="655" w:type="dxa"/>
            <w:vAlign w:val="center"/>
          </w:tcPr>
          <w:p w:rsidR="00F60C27" w:rsidRPr="00396C98" w:rsidRDefault="00F60C27" w:rsidP="00F60C27">
            <w:pPr>
              <w:spacing w:after="0"/>
              <w:jc w:val="center"/>
              <w:rPr>
                <w:rFonts w:asciiTheme="minorHAnsi" w:hAnsiTheme="minorHAnsi" w:cstheme="minorHAnsi"/>
                <w:color w:val="000000"/>
                <w:sz w:val="18"/>
                <w:szCs w:val="18"/>
              </w:rPr>
            </w:pPr>
            <w:r w:rsidRPr="00396C98">
              <w:rPr>
                <w:rFonts w:asciiTheme="minorHAnsi" w:hAnsiTheme="minorHAnsi" w:cstheme="minorHAnsi"/>
                <w:color w:val="000000"/>
                <w:sz w:val="18"/>
                <w:szCs w:val="18"/>
              </w:rPr>
              <w:t>2025</w:t>
            </w:r>
          </w:p>
        </w:tc>
        <w:tc>
          <w:tcPr>
            <w:tcW w:w="1181" w:type="dxa"/>
            <w:vAlign w:val="center"/>
          </w:tcPr>
          <w:p w:rsidR="00F60C27" w:rsidRPr="00396C98" w:rsidRDefault="00F60C27" w:rsidP="00F60C27">
            <w:pPr>
              <w:spacing w:after="0"/>
              <w:jc w:val="center"/>
              <w:rPr>
                <w:rFonts w:asciiTheme="minorHAnsi" w:hAnsiTheme="minorHAnsi" w:cstheme="minorHAnsi"/>
                <w:color w:val="000000"/>
                <w:sz w:val="18"/>
                <w:szCs w:val="18"/>
              </w:rPr>
            </w:pPr>
            <w:r w:rsidRPr="00396C98">
              <w:rPr>
                <w:rFonts w:asciiTheme="minorHAnsi" w:hAnsiTheme="minorHAnsi" w:cstheme="minorHAnsi"/>
                <w:color w:val="000000"/>
                <w:sz w:val="18"/>
                <w:szCs w:val="18"/>
              </w:rPr>
              <w:t>1.44</w:t>
            </w:r>
          </w:p>
        </w:tc>
        <w:tc>
          <w:tcPr>
            <w:tcW w:w="1226" w:type="dxa"/>
            <w:vAlign w:val="center"/>
          </w:tcPr>
          <w:p w:rsidR="00F60C27" w:rsidRPr="00396C98" w:rsidRDefault="00F60C27" w:rsidP="00F60C27">
            <w:pPr>
              <w:spacing w:after="0"/>
              <w:jc w:val="center"/>
              <w:rPr>
                <w:rFonts w:asciiTheme="minorHAnsi" w:hAnsiTheme="minorHAnsi" w:cstheme="minorHAnsi"/>
                <w:color w:val="000000"/>
                <w:sz w:val="18"/>
                <w:szCs w:val="18"/>
              </w:rPr>
            </w:pPr>
            <w:r w:rsidRPr="00396C98">
              <w:rPr>
                <w:rFonts w:asciiTheme="minorHAnsi" w:hAnsiTheme="minorHAnsi" w:cstheme="minorHAnsi"/>
                <w:color w:val="000000"/>
                <w:sz w:val="18"/>
                <w:szCs w:val="18"/>
              </w:rPr>
              <w:t>3.3</w:t>
            </w:r>
            <w:r w:rsidR="00CD5296" w:rsidRPr="00396C98">
              <w:rPr>
                <w:rFonts w:asciiTheme="minorHAnsi" w:hAnsiTheme="minorHAnsi" w:cstheme="minorHAnsi"/>
                <w:color w:val="000000"/>
                <w:sz w:val="18"/>
                <w:szCs w:val="18"/>
              </w:rPr>
              <w:t>0</w:t>
            </w:r>
          </w:p>
        </w:tc>
        <w:tc>
          <w:tcPr>
            <w:tcW w:w="596" w:type="dxa"/>
            <w:vAlign w:val="center"/>
          </w:tcPr>
          <w:p w:rsidR="00F60C27" w:rsidRPr="00396C98" w:rsidRDefault="00F60C27" w:rsidP="00F60C27">
            <w:pPr>
              <w:spacing w:after="0"/>
              <w:jc w:val="center"/>
              <w:rPr>
                <w:rFonts w:asciiTheme="minorHAnsi" w:hAnsiTheme="minorHAnsi" w:cstheme="minorHAnsi"/>
                <w:color w:val="000000"/>
                <w:sz w:val="18"/>
                <w:szCs w:val="18"/>
              </w:rPr>
            </w:pPr>
            <w:r w:rsidRPr="00396C98">
              <w:rPr>
                <w:rFonts w:asciiTheme="minorHAnsi" w:hAnsiTheme="minorHAnsi" w:cstheme="minorHAnsi"/>
                <w:sz w:val="18"/>
                <w:szCs w:val="18"/>
              </w:rPr>
              <w:t>4.74</w:t>
            </w:r>
          </w:p>
        </w:tc>
      </w:tr>
      <w:tr w:rsidR="00F06AF6" w:rsidRPr="00D876EE" w:rsidTr="00396C98">
        <w:trPr>
          <w:trHeight w:val="227"/>
        </w:trPr>
        <w:tc>
          <w:tcPr>
            <w:tcW w:w="1088" w:type="dxa"/>
            <w:tcBorders>
              <w:top w:val="single" w:sz="4" w:space="0" w:color="5B9BD5" w:themeColor="accent1"/>
              <w:left w:val="single" w:sz="4" w:space="0" w:color="5B9BD5" w:themeColor="accent1"/>
              <w:bottom w:val="single" w:sz="4" w:space="0" w:color="5B9BD5" w:themeColor="accent1"/>
            </w:tcBorders>
            <w:noWrap/>
            <w:vAlign w:val="center"/>
            <w:hideMark/>
          </w:tcPr>
          <w:p w:rsidR="00F06AF6" w:rsidRPr="00396C98" w:rsidRDefault="00F06AF6">
            <w:pPr>
              <w:spacing w:after="0"/>
              <w:jc w:val="both"/>
              <w:rPr>
                <w:rFonts w:asciiTheme="minorHAnsi" w:hAnsiTheme="minorHAnsi" w:cstheme="minorHAnsi"/>
                <w:sz w:val="18"/>
                <w:szCs w:val="18"/>
              </w:rPr>
            </w:pPr>
            <w:r w:rsidRPr="00396C98">
              <w:rPr>
                <w:rFonts w:asciiTheme="minorHAnsi" w:hAnsiTheme="minorHAnsi" w:cstheme="minorHAnsi"/>
                <w:b/>
                <w:bCs/>
                <w:sz w:val="18"/>
                <w:szCs w:val="18"/>
              </w:rPr>
              <w:t> </w:t>
            </w:r>
          </w:p>
        </w:tc>
        <w:tc>
          <w:tcPr>
            <w:tcW w:w="714" w:type="dxa"/>
            <w:noWrap/>
            <w:vAlign w:val="center"/>
            <w:hideMark/>
          </w:tcPr>
          <w:p w:rsidR="00F06AF6" w:rsidRPr="00396C98" w:rsidRDefault="00F06AF6">
            <w:pPr>
              <w:spacing w:after="0"/>
              <w:jc w:val="center"/>
              <w:rPr>
                <w:rFonts w:asciiTheme="minorHAnsi" w:hAnsiTheme="minorHAnsi" w:cstheme="minorHAnsi"/>
                <w:sz w:val="18"/>
                <w:szCs w:val="18"/>
              </w:rPr>
            </w:pPr>
            <w:r w:rsidRPr="00396C98">
              <w:rPr>
                <w:rFonts w:asciiTheme="minorHAnsi" w:hAnsiTheme="minorHAnsi" w:cstheme="minorHAnsi"/>
                <w:sz w:val="18"/>
                <w:szCs w:val="18"/>
              </w:rPr>
              <w:t>2030</w:t>
            </w:r>
          </w:p>
        </w:tc>
        <w:tc>
          <w:tcPr>
            <w:tcW w:w="1141" w:type="dxa"/>
            <w:noWrap/>
            <w:vAlign w:val="center"/>
            <w:hideMark/>
          </w:tcPr>
          <w:p w:rsidR="00F06AF6" w:rsidRPr="00396C98" w:rsidRDefault="00F60C27">
            <w:pPr>
              <w:spacing w:after="0"/>
              <w:jc w:val="center"/>
              <w:rPr>
                <w:rFonts w:asciiTheme="minorHAnsi" w:hAnsiTheme="minorHAnsi" w:cstheme="minorHAnsi"/>
                <w:sz w:val="18"/>
                <w:szCs w:val="18"/>
              </w:rPr>
            </w:pPr>
            <w:r w:rsidRPr="00396C98">
              <w:rPr>
                <w:rFonts w:asciiTheme="minorHAnsi" w:hAnsiTheme="minorHAnsi" w:cstheme="minorHAnsi"/>
                <w:sz w:val="18"/>
                <w:szCs w:val="18"/>
              </w:rPr>
              <w:t>1.60</w:t>
            </w:r>
          </w:p>
        </w:tc>
        <w:tc>
          <w:tcPr>
            <w:tcW w:w="1134" w:type="dxa"/>
            <w:noWrap/>
            <w:vAlign w:val="center"/>
            <w:hideMark/>
          </w:tcPr>
          <w:p w:rsidR="00F06AF6" w:rsidRPr="00396C98" w:rsidRDefault="00F60C27">
            <w:pPr>
              <w:spacing w:after="0"/>
              <w:jc w:val="center"/>
              <w:rPr>
                <w:rFonts w:asciiTheme="minorHAnsi" w:hAnsiTheme="minorHAnsi" w:cstheme="minorHAnsi"/>
                <w:sz w:val="18"/>
                <w:szCs w:val="18"/>
              </w:rPr>
            </w:pPr>
            <w:r w:rsidRPr="00396C98">
              <w:rPr>
                <w:rFonts w:asciiTheme="minorHAnsi" w:hAnsiTheme="minorHAnsi" w:cstheme="minorHAnsi"/>
                <w:sz w:val="18"/>
                <w:szCs w:val="18"/>
              </w:rPr>
              <w:t>3.78</w:t>
            </w:r>
          </w:p>
        </w:tc>
        <w:tc>
          <w:tcPr>
            <w:tcW w:w="596" w:type="dxa"/>
            <w:tcBorders>
              <w:right w:val="single" w:sz="2" w:space="0" w:color="5B9BD5" w:themeColor="accent1"/>
            </w:tcBorders>
            <w:vAlign w:val="center"/>
          </w:tcPr>
          <w:p w:rsidR="00F06AF6" w:rsidRPr="00396C98" w:rsidRDefault="00F60C27">
            <w:pPr>
              <w:spacing w:after="0"/>
              <w:jc w:val="center"/>
              <w:rPr>
                <w:rFonts w:asciiTheme="minorHAnsi" w:hAnsiTheme="minorHAnsi" w:cstheme="minorHAnsi"/>
                <w:color w:val="000000"/>
                <w:sz w:val="18"/>
                <w:szCs w:val="18"/>
              </w:rPr>
            </w:pPr>
            <w:r w:rsidRPr="00396C98">
              <w:rPr>
                <w:rFonts w:asciiTheme="minorHAnsi" w:hAnsiTheme="minorHAnsi" w:cstheme="minorHAnsi"/>
                <w:color w:val="000000"/>
                <w:sz w:val="18"/>
                <w:szCs w:val="18"/>
              </w:rPr>
              <w:t>5.38</w:t>
            </w:r>
          </w:p>
        </w:tc>
        <w:tc>
          <w:tcPr>
            <w:tcW w:w="1247" w:type="dxa"/>
            <w:tcBorders>
              <w:top w:val="single" w:sz="4" w:space="0" w:color="5B9BD5" w:themeColor="accent1"/>
              <w:left w:val="single" w:sz="2" w:space="0" w:color="5B9BD5" w:themeColor="accent1"/>
              <w:bottom w:val="single" w:sz="4" w:space="0" w:color="5B9BD5" w:themeColor="accent1"/>
            </w:tcBorders>
            <w:vAlign w:val="center"/>
          </w:tcPr>
          <w:p w:rsidR="00F06AF6" w:rsidRPr="00396C98" w:rsidRDefault="00F06AF6" w:rsidP="001906CE">
            <w:pPr>
              <w:spacing w:after="0"/>
              <w:jc w:val="both"/>
              <w:rPr>
                <w:rFonts w:asciiTheme="minorHAnsi" w:hAnsiTheme="minorHAnsi" w:cstheme="minorHAnsi"/>
                <w:b/>
                <w:color w:val="000000"/>
                <w:sz w:val="18"/>
                <w:szCs w:val="18"/>
              </w:rPr>
            </w:pPr>
            <w:r w:rsidRPr="00396C98">
              <w:rPr>
                <w:rFonts w:asciiTheme="minorHAnsi" w:hAnsiTheme="minorHAnsi" w:cstheme="minorHAnsi"/>
                <w:b/>
                <w:bCs/>
                <w:sz w:val="18"/>
                <w:szCs w:val="18"/>
              </w:rPr>
              <w:t> </w:t>
            </w:r>
          </w:p>
        </w:tc>
        <w:tc>
          <w:tcPr>
            <w:tcW w:w="655" w:type="dxa"/>
            <w:vAlign w:val="center"/>
          </w:tcPr>
          <w:p w:rsidR="00F06AF6" w:rsidRPr="00396C98" w:rsidRDefault="00F06AF6" w:rsidP="001906CE">
            <w:pPr>
              <w:spacing w:after="0"/>
              <w:jc w:val="center"/>
              <w:rPr>
                <w:rFonts w:asciiTheme="minorHAnsi" w:hAnsiTheme="minorHAnsi" w:cstheme="minorHAnsi"/>
                <w:color w:val="000000"/>
                <w:sz w:val="18"/>
                <w:szCs w:val="18"/>
              </w:rPr>
            </w:pPr>
            <w:r w:rsidRPr="00396C98">
              <w:rPr>
                <w:rFonts w:asciiTheme="minorHAnsi" w:hAnsiTheme="minorHAnsi" w:cstheme="minorHAnsi"/>
                <w:color w:val="000000"/>
                <w:sz w:val="18"/>
                <w:szCs w:val="18"/>
              </w:rPr>
              <w:t>2030</w:t>
            </w:r>
          </w:p>
        </w:tc>
        <w:tc>
          <w:tcPr>
            <w:tcW w:w="1181" w:type="dxa"/>
            <w:vAlign w:val="center"/>
          </w:tcPr>
          <w:p w:rsidR="00F06AF6" w:rsidRPr="00396C98" w:rsidRDefault="00F06AF6" w:rsidP="001906CE">
            <w:pPr>
              <w:spacing w:after="0"/>
              <w:jc w:val="center"/>
              <w:rPr>
                <w:rFonts w:asciiTheme="minorHAnsi" w:hAnsiTheme="minorHAnsi" w:cstheme="minorHAnsi"/>
                <w:color w:val="000000"/>
                <w:sz w:val="18"/>
                <w:szCs w:val="18"/>
              </w:rPr>
            </w:pPr>
            <w:r w:rsidRPr="00396C98">
              <w:rPr>
                <w:rFonts w:asciiTheme="minorHAnsi" w:hAnsiTheme="minorHAnsi" w:cstheme="minorHAnsi"/>
                <w:color w:val="000000"/>
                <w:sz w:val="18"/>
                <w:szCs w:val="18"/>
              </w:rPr>
              <w:t>1.47</w:t>
            </w:r>
          </w:p>
        </w:tc>
        <w:tc>
          <w:tcPr>
            <w:tcW w:w="1226" w:type="dxa"/>
            <w:vAlign w:val="center"/>
          </w:tcPr>
          <w:p w:rsidR="00F06AF6" w:rsidRPr="00396C98" w:rsidRDefault="00F06AF6" w:rsidP="001906CE">
            <w:pPr>
              <w:spacing w:after="0"/>
              <w:jc w:val="center"/>
              <w:rPr>
                <w:rFonts w:asciiTheme="minorHAnsi" w:hAnsiTheme="minorHAnsi" w:cstheme="minorHAnsi"/>
                <w:color w:val="000000"/>
                <w:sz w:val="18"/>
                <w:szCs w:val="18"/>
              </w:rPr>
            </w:pPr>
            <w:r w:rsidRPr="00396C98">
              <w:rPr>
                <w:rFonts w:asciiTheme="minorHAnsi" w:hAnsiTheme="minorHAnsi" w:cstheme="minorHAnsi"/>
                <w:color w:val="000000"/>
                <w:sz w:val="18"/>
                <w:szCs w:val="18"/>
              </w:rPr>
              <w:t>3.41</w:t>
            </w:r>
          </w:p>
        </w:tc>
        <w:tc>
          <w:tcPr>
            <w:tcW w:w="596" w:type="dxa"/>
            <w:vAlign w:val="center"/>
          </w:tcPr>
          <w:p w:rsidR="00F06AF6" w:rsidRPr="00396C98" w:rsidRDefault="00F06AF6">
            <w:pPr>
              <w:spacing w:after="0"/>
              <w:jc w:val="center"/>
              <w:rPr>
                <w:rFonts w:asciiTheme="minorHAnsi" w:hAnsiTheme="minorHAnsi" w:cstheme="minorHAnsi"/>
                <w:color w:val="000000"/>
                <w:sz w:val="18"/>
                <w:szCs w:val="18"/>
              </w:rPr>
            </w:pPr>
            <w:r w:rsidRPr="00396C98">
              <w:rPr>
                <w:rFonts w:asciiTheme="minorHAnsi" w:hAnsiTheme="minorHAnsi" w:cstheme="minorHAnsi"/>
                <w:sz w:val="18"/>
                <w:szCs w:val="18"/>
              </w:rPr>
              <w:t>4.88</w:t>
            </w:r>
          </w:p>
        </w:tc>
      </w:tr>
      <w:tr w:rsidR="00F60C27" w:rsidRPr="00D876EE" w:rsidTr="00396C98">
        <w:trPr>
          <w:cnfStyle w:val="000000100000" w:firstRow="0" w:lastRow="0" w:firstColumn="0" w:lastColumn="0" w:oddVBand="0" w:evenVBand="0" w:oddHBand="1" w:evenHBand="0" w:firstRowFirstColumn="0" w:firstRowLastColumn="0" w:lastRowFirstColumn="0" w:lastRowLastColumn="0"/>
          <w:trHeight w:val="227"/>
        </w:trPr>
        <w:tc>
          <w:tcPr>
            <w:tcW w:w="1088" w:type="dxa"/>
            <w:tcBorders>
              <w:left w:val="single" w:sz="4" w:space="0" w:color="5B9BD5" w:themeColor="accent1"/>
            </w:tcBorders>
            <w:noWrap/>
            <w:vAlign w:val="center"/>
          </w:tcPr>
          <w:p w:rsidR="00F60C27" w:rsidRPr="00396C98" w:rsidRDefault="00F60C27" w:rsidP="00F60C27">
            <w:pPr>
              <w:spacing w:after="0"/>
              <w:jc w:val="both"/>
              <w:rPr>
                <w:rFonts w:asciiTheme="minorHAnsi" w:hAnsiTheme="minorHAnsi" w:cstheme="minorHAnsi"/>
                <w:b/>
                <w:color w:val="000000"/>
                <w:sz w:val="18"/>
                <w:szCs w:val="18"/>
              </w:rPr>
            </w:pPr>
            <w:r w:rsidRPr="00396C98">
              <w:rPr>
                <w:rFonts w:asciiTheme="minorHAnsi" w:hAnsiTheme="minorHAnsi" w:cstheme="minorHAnsi"/>
                <w:b/>
                <w:bCs/>
                <w:sz w:val="18"/>
                <w:szCs w:val="18"/>
              </w:rPr>
              <w:t>China</w:t>
            </w:r>
          </w:p>
        </w:tc>
        <w:tc>
          <w:tcPr>
            <w:tcW w:w="714" w:type="dxa"/>
            <w:noWrap/>
            <w:vAlign w:val="center"/>
          </w:tcPr>
          <w:p w:rsidR="00F60C27" w:rsidRPr="00396C98" w:rsidRDefault="00F60C27" w:rsidP="00F60C27">
            <w:pPr>
              <w:spacing w:after="0"/>
              <w:jc w:val="center"/>
              <w:rPr>
                <w:rFonts w:asciiTheme="minorHAnsi" w:hAnsiTheme="minorHAnsi" w:cstheme="minorHAnsi"/>
                <w:color w:val="000000"/>
                <w:sz w:val="18"/>
                <w:szCs w:val="18"/>
              </w:rPr>
            </w:pPr>
            <w:r w:rsidRPr="00396C98">
              <w:rPr>
                <w:rFonts w:asciiTheme="minorHAnsi" w:hAnsiTheme="minorHAnsi" w:cstheme="minorHAnsi"/>
                <w:color w:val="000000"/>
                <w:sz w:val="18"/>
                <w:szCs w:val="18"/>
              </w:rPr>
              <w:t>2015</w:t>
            </w:r>
          </w:p>
        </w:tc>
        <w:tc>
          <w:tcPr>
            <w:tcW w:w="1141" w:type="dxa"/>
            <w:noWrap/>
            <w:vAlign w:val="center"/>
          </w:tcPr>
          <w:p w:rsidR="00F60C27" w:rsidRPr="00396C98" w:rsidRDefault="00CD5296" w:rsidP="00F60C27">
            <w:pPr>
              <w:spacing w:after="0"/>
              <w:jc w:val="center"/>
              <w:rPr>
                <w:rFonts w:asciiTheme="minorHAnsi" w:hAnsiTheme="minorHAnsi" w:cstheme="minorHAnsi"/>
                <w:sz w:val="18"/>
                <w:szCs w:val="18"/>
              </w:rPr>
            </w:pPr>
            <w:r w:rsidRPr="00396C98">
              <w:rPr>
                <w:rFonts w:asciiTheme="minorHAnsi" w:hAnsiTheme="minorHAnsi" w:cstheme="minorHAnsi"/>
                <w:color w:val="000000"/>
                <w:sz w:val="18"/>
                <w:szCs w:val="18"/>
              </w:rPr>
              <w:t>0.92</w:t>
            </w:r>
          </w:p>
        </w:tc>
        <w:tc>
          <w:tcPr>
            <w:tcW w:w="1134" w:type="dxa"/>
            <w:noWrap/>
            <w:vAlign w:val="center"/>
          </w:tcPr>
          <w:p w:rsidR="00F60C27" w:rsidRPr="00396C98" w:rsidRDefault="00CD5296" w:rsidP="00F60C27">
            <w:pPr>
              <w:spacing w:after="0"/>
              <w:jc w:val="center"/>
              <w:rPr>
                <w:rFonts w:asciiTheme="minorHAnsi" w:hAnsiTheme="minorHAnsi" w:cstheme="minorHAnsi"/>
                <w:sz w:val="18"/>
                <w:szCs w:val="18"/>
              </w:rPr>
            </w:pPr>
            <w:r w:rsidRPr="00396C98">
              <w:rPr>
                <w:rFonts w:asciiTheme="minorHAnsi" w:hAnsiTheme="minorHAnsi" w:cstheme="minorHAnsi"/>
                <w:color w:val="000000"/>
                <w:sz w:val="18"/>
                <w:szCs w:val="18"/>
              </w:rPr>
              <w:t>2.35</w:t>
            </w:r>
          </w:p>
        </w:tc>
        <w:tc>
          <w:tcPr>
            <w:tcW w:w="596" w:type="dxa"/>
            <w:tcBorders>
              <w:right w:val="single" w:sz="2" w:space="0" w:color="5B9BD5" w:themeColor="accent1"/>
            </w:tcBorders>
            <w:vAlign w:val="center"/>
          </w:tcPr>
          <w:p w:rsidR="00F60C27" w:rsidRPr="00396C98" w:rsidRDefault="00F60C27" w:rsidP="00CD5296">
            <w:pPr>
              <w:spacing w:after="0"/>
              <w:jc w:val="center"/>
              <w:rPr>
                <w:rFonts w:asciiTheme="minorHAnsi" w:hAnsiTheme="minorHAnsi" w:cstheme="minorHAnsi"/>
                <w:sz w:val="18"/>
                <w:szCs w:val="18"/>
              </w:rPr>
            </w:pPr>
            <w:r w:rsidRPr="00396C98">
              <w:rPr>
                <w:rFonts w:asciiTheme="minorHAnsi" w:hAnsiTheme="minorHAnsi" w:cstheme="minorHAnsi"/>
                <w:sz w:val="18"/>
                <w:szCs w:val="18"/>
              </w:rPr>
              <w:t>3.</w:t>
            </w:r>
            <w:r w:rsidR="00CD5296" w:rsidRPr="00396C98">
              <w:rPr>
                <w:rFonts w:asciiTheme="minorHAnsi" w:hAnsiTheme="minorHAnsi" w:cstheme="minorHAnsi"/>
                <w:sz w:val="18"/>
                <w:szCs w:val="18"/>
              </w:rPr>
              <w:t>2</w:t>
            </w:r>
            <w:r w:rsidRPr="00396C98">
              <w:rPr>
                <w:rFonts w:asciiTheme="minorHAnsi" w:hAnsiTheme="minorHAnsi" w:cstheme="minorHAnsi"/>
                <w:sz w:val="18"/>
                <w:szCs w:val="18"/>
              </w:rPr>
              <w:t>7</w:t>
            </w:r>
          </w:p>
        </w:tc>
        <w:tc>
          <w:tcPr>
            <w:tcW w:w="1247" w:type="dxa"/>
            <w:tcBorders>
              <w:left w:val="single" w:sz="2" w:space="0" w:color="5B9BD5" w:themeColor="accent1"/>
            </w:tcBorders>
            <w:vAlign w:val="center"/>
          </w:tcPr>
          <w:p w:rsidR="00F60C27" w:rsidRPr="00396C98" w:rsidRDefault="00F60C27" w:rsidP="00F60C27">
            <w:pPr>
              <w:spacing w:after="0"/>
              <w:rPr>
                <w:rFonts w:asciiTheme="minorHAnsi" w:hAnsiTheme="minorHAnsi" w:cstheme="minorHAnsi"/>
                <w:sz w:val="18"/>
                <w:szCs w:val="18"/>
              </w:rPr>
            </w:pPr>
            <w:r w:rsidRPr="00396C98">
              <w:rPr>
                <w:rFonts w:asciiTheme="minorHAnsi" w:hAnsiTheme="minorHAnsi" w:cstheme="minorHAnsi"/>
                <w:b/>
                <w:bCs/>
                <w:sz w:val="18"/>
                <w:szCs w:val="18"/>
              </w:rPr>
              <w:t>Philippines</w:t>
            </w:r>
          </w:p>
        </w:tc>
        <w:tc>
          <w:tcPr>
            <w:tcW w:w="655" w:type="dxa"/>
            <w:vAlign w:val="center"/>
          </w:tcPr>
          <w:p w:rsidR="00F60C27" w:rsidRPr="00396C98" w:rsidRDefault="00F60C27" w:rsidP="00F60C27">
            <w:pPr>
              <w:spacing w:after="0"/>
              <w:jc w:val="center"/>
              <w:rPr>
                <w:rFonts w:asciiTheme="minorHAnsi" w:hAnsiTheme="minorHAnsi" w:cstheme="minorHAnsi"/>
                <w:sz w:val="18"/>
                <w:szCs w:val="18"/>
              </w:rPr>
            </w:pPr>
            <w:r w:rsidRPr="00396C98">
              <w:rPr>
                <w:rFonts w:asciiTheme="minorHAnsi" w:hAnsiTheme="minorHAnsi" w:cstheme="minorHAnsi"/>
                <w:color w:val="000000"/>
                <w:sz w:val="18"/>
                <w:szCs w:val="18"/>
              </w:rPr>
              <w:t>2015</w:t>
            </w:r>
          </w:p>
        </w:tc>
        <w:tc>
          <w:tcPr>
            <w:tcW w:w="1181" w:type="dxa"/>
          </w:tcPr>
          <w:p w:rsidR="00F60C27" w:rsidRPr="00396C98" w:rsidRDefault="00F60C27" w:rsidP="005C37B2">
            <w:pPr>
              <w:spacing w:after="0" w:line="240" w:lineRule="auto"/>
              <w:jc w:val="center"/>
              <w:rPr>
                <w:rFonts w:asciiTheme="minorHAnsi" w:hAnsiTheme="minorHAnsi" w:cstheme="minorHAnsi"/>
                <w:color w:val="000000"/>
                <w:sz w:val="18"/>
                <w:szCs w:val="18"/>
              </w:rPr>
            </w:pPr>
            <w:r w:rsidRPr="00396C98">
              <w:rPr>
                <w:rFonts w:asciiTheme="minorHAnsi" w:hAnsiTheme="minorHAnsi" w:cstheme="minorHAnsi"/>
                <w:color w:val="000000"/>
                <w:sz w:val="18"/>
                <w:szCs w:val="18"/>
              </w:rPr>
              <w:t>1.50</w:t>
            </w:r>
          </w:p>
        </w:tc>
        <w:tc>
          <w:tcPr>
            <w:tcW w:w="1226" w:type="dxa"/>
          </w:tcPr>
          <w:p w:rsidR="00F60C27" w:rsidRPr="00396C98" w:rsidRDefault="00F60C27" w:rsidP="005C37B2">
            <w:pPr>
              <w:spacing w:after="0" w:line="240" w:lineRule="auto"/>
              <w:jc w:val="center"/>
              <w:rPr>
                <w:rFonts w:asciiTheme="minorHAnsi" w:hAnsiTheme="minorHAnsi" w:cstheme="minorHAnsi"/>
                <w:color w:val="000000"/>
                <w:sz w:val="18"/>
                <w:szCs w:val="18"/>
              </w:rPr>
            </w:pPr>
            <w:r w:rsidRPr="00396C98">
              <w:rPr>
                <w:rFonts w:asciiTheme="minorHAnsi" w:hAnsiTheme="minorHAnsi" w:cstheme="minorHAnsi"/>
                <w:color w:val="000000"/>
                <w:sz w:val="18"/>
                <w:szCs w:val="18"/>
              </w:rPr>
              <w:t>3.55</w:t>
            </w:r>
          </w:p>
        </w:tc>
        <w:tc>
          <w:tcPr>
            <w:tcW w:w="596" w:type="dxa"/>
            <w:vAlign w:val="center"/>
          </w:tcPr>
          <w:p w:rsidR="00F60C27" w:rsidRPr="00396C98" w:rsidRDefault="00F60C27" w:rsidP="00F60C27">
            <w:pPr>
              <w:spacing w:after="0"/>
              <w:jc w:val="right"/>
              <w:rPr>
                <w:rFonts w:asciiTheme="minorHAnsi" w:hAnsiTheme="minorHAnsi" w:cstheme="minorHAnsi"/>
                <w:color w:val="000000"/>
                <w:sz w:val="18"/>
                <w:szCs w:val="18"/>
              </w:rPr>
            </w:pPr>
            <w:r w:rsidRPr="00396C98">
              <w:rPr>
                <w:rFonts w:asciiTheme="minorHAnsi" w:hAnsiTheme="minorHAnsi" w:cstheme="minorHAnsi"/>
                <w:color w:val="000000"/>
                <w:sz w:val="18"/>
                <w:szCs w:val="18"/>
              </w:rPr>
              <w:t>5.05</w:t>
            </w:r>
          </w:p>
        </w:tc>
      </w:tr>
      <w:tr w:rsidR="00F60C27" w:rsidRPr="00D876EE" w:rsidTr="00396C98">
        <w:trPr>
          <w:trHeight w:val="227"/>
        </w:trPr>
        <w:tc>
          <w:tcPr>
            <w:tcW w:w="1088" w:type="dxa"/>
            <w:tcBorders>
              <w:top w:val="single" w:sz="4" w:space="0" w:color="5B9BD5" w:themeColor="accent1"/>
              <w:left w:val="single" w:sz="4" w:space="0" w:color="5B9BD5" w:themeColor="accent1"/>
              <w:bottom w:val="single" w:sz="4" w:space="0" w:color="5B9BD5" w:themeColor="accent1"/>
            </w:tcBorders>
            <w:noWrap/>
            <w:vAlign w:val="center"/>
          </w:tcPr>
          <w:p w:rsidR="00F60C27" w:rsidRPr="00396C98" w:rsidRDefault="00F60C27" w:rsidP="00F60C27">
            <w:pPr>
              <w:spacing w:after="0"/>
              <w:jc w:val="both"/>
              <w:rPr>
                <w:rFonts w:asciiTheme="minorHAnsi" w:hAnsiTheme="minorHAnsi" w:cstheme="minorHAnsi"/>
                <w:b/>
                <w:color w:val="000000"/>
                <w:sz w:val="18"/>
                <w:szCs w:val="18"/>
              </w:rPr>
            </w:pPr>
            <w:r w:rsidRPr="00396C98">
              <w:rPr>
                <w:rFonts w:asciiTheme="minorHAnsi" w:hAnsiTheme="minorHAnsi" w:cstheme="minorHAnsi"/>
                <w:b/>
                <w:bCs/>
                <w:sz w:val="18"/>
                <w:szCs w:val="18"/>
              </w:rPr>
              <w:t> </w:t>
            </w:r>
          </w:p>
        </w:tc>
        <w:tc>
          <w:tcPr>
            <w:tcW w:w="714" w:type="dxa"/>
            <w:noWrap/>
            <w:vAlign w:val="center"/>
          </w:tcPr>
          <w:p w:rsidR="00F60C27" w:rsidRPr="00396C98" w:rsidRDefault="00F60C27" w:rsidP="00F60C27">
            <w:pPr>
              <w:spacing w:after="0"/>
              <w:jc w:val="center"/>
              <w:rPr>
                <w:rFonts w:asciiTheme="minorHAnsi" w:hAnsiTheme="minorHAnsi" w:cstheme="minorHAnsi"/>
                <w:color w:val="000000"/>
                <w:sz w:val="18"/>
                <w:szCs w:val="18"/>
              </w:rPr>
            </w:pPr>
            <w:r w:rsidRPr="00396C98">
              <w:rPr>
                <w:rFonts w:asciiTheme="minorHAnsi" w:hAnsiTheme="minorHAnsi" w:cstheme="minorHAnsi"/>
                <w:color w:val="000000"/>
                <w:sz w:val="18"/>
                <w:szCs w:val="18"/>
              </w:rPr>
              <w:t>2020</w:t>
            </w:r>
          </w:p>
        </w:tc>
        <w:tc>
          <w:tcPr>
            <w:tcW w:w="1141" w:type="dxa"/>
            <w:noWrap/>
            <w:vAlign w:val="center"/>
          </w:tcPr>
          <w:p w:rsidR="00F60C27" w:rsidRPr="00396C98" w:rsidRDefault="00CD5296" w:rsidP="00F60C27">
            <w:pPr>
              <w:spacing w:after="0"/>
              <w:jc w:val="center"/>
              <w:rPr>
                <w:rFonts w:asciiTheme="minorHAnsi" w:hAnsiTheme="minorHAnsi" w:cstheme="minorHAnsi"/>
                <w:sz w:val="18"/>
                <w:szCs w:val="18"/>
              </w:rPr>
            </w:pPr>
            <w:r w:rsidRPr="00396C98">
              <w:rPr>
                <w:rFonts w:asciiTheme="minorHAnsi" w:hAnsiTheme="minorHAnsi" w:cstheme="minorHAnsi"/>
                <w:color w:val="000000"/>
                <w:sz w:val="18"/>
                <w:szCs w:val="18"/>
              </w:rPr>
              <w:t>0.95</w:t>
            </w:r>
          </w:p>
        </w:tc>
        <w:tc>
          <w:tcPr>
            <w:tcW w:w="1134" w:type="dxa"/>
            <w:noWrap/>
            <w:vAlign w:val="center"/>
          </w:tcPr>
          <w:p w:rsidR="00F60C27" w:rsidRPr="00396C98" w:rsidRDefault="00CD5296" w:rsidP="00F60C27">
            <w:pPr>
              <w:spacing w:after="0"/>
              <w:jc w:val="center"/>
              <w:rPr>
                <w:rFonts w:asciiTheme="minorHAnsi" w:hAnsiTheme="minorHAnsi" w:cstheme="minorHAnsi"/>
                <w:sz w:val="18"/>
                <w:szCs w:val="18"/>
              </w:rPr>
            </w:pPr>
            <w:r w:rsidRPr="00396C98">
              <w:rPr>
                <w:rFonts w:asciiTheme="minorHAnsi" w:hAnsiTheme="minorHAnsi" w:cstheme="minorHAnsi"/>
                <w:color w:val="000000"/>
                <w:sz w:val="18"/>
                <w:szCs w:val="18"/>
              </w:rPr>
              <w:t>2.45</w:t>
            </w:r>
          </w:p>
        </w:tc>
        <w:tc>
          <w:tcPr>
            <w:tcW w:w="596" w:type="dxa"/>
            <w:tcBorders>
              <w:right w:val="single" w:sz="2" w:space="0" w:color="5B9BD5" w:themeColor="accent1"/>
            </w:tcBorders>
            <w:vAlign w:val="center"/>
          </w:tcPr>
          <w:p w:rsidR="00F60C27" w:rsidRPr="00396C98" w:rsidRDefault="00CD5296" w:rsidP="00F60C27">
            <w:pPr>
              <w:spacing w:after="0"/>
              <w:jc w:val="center"/>
              <w:rPr>
                <w:rFonts w:asciiTheme="minorHAnsi" w:hAnsiTheme="minorHAnsi" w:cstheme="minorHAnsi"/>
                <w:sz w:val="18"/>
                <w:szCs w:val="18"/>
              </w:rPr>
            </w:pPr>
            <w:r w:rsidRPr="00396C98">
              <w:rPr>
                <w:rFonts w:asciiTheme="minorHAnsi" w:hAnsiTheme="minorHAnsi" w:cstheme="minorHAnsi"/>
                <w:sz w:val="18"/>
                <w:szCs w:val="18"/>
              </w:rPr>
              <w:t>3.40</w:t>
            </w:r>
          </w:p>
        </w:tc>
        <w:tc>
          <w:tcPr>
            <w:tcW w:w="1247" w:type="dxa"/>
            <w:tcBorders>
              <w:top w:val="single" w:sz="4" w:space="0" w:color="5B9BD5" w:themeColor="accent1"/>
              <w:left w:val="single" w:sz="2" w:space="0" w:color="5B9BD5" w:themeColor="accent1"/>
              <w:bottom w:val="single" w:sz="4" w:space="0" w:color="5B9BD5" w:themeColor="accent1"/>
            </w:tcBorders>
            <w:vAlign w:val="center"/>
          </w:tcPr>
          <w:p w:rsidR="00F60C27" w:rsidRPr="00396C98" w:rsidRDefault="00F60C27" w:rsidP="00F60C27">
            <w:pPr>
              <w:spacing w:after="0"/>
              <w:rPr>
                <w:rFonts w:asciiTheme="minorHAnsi" w:hAnsiTheme="minorHAnsi" w:cstheme="minorHAnsi"/>
                <w:sz w:val="18"/>
                <w:szCs w:val="18"/>
              </w:rPr>
            </w:pPr>
            <w:r w:rsidRPr="00396C98">
              <w:rPr>
                <w:rFonts w:asciiTheme="minorHAnsi" w:hAnsiTheme="minorHAnsi" w:cstheme="minorHAnsi"/>
                <w:b/>
                <w:bCs/>
                <w:sz w:val="18"/>
                <w:szCs w:val="18"/>
              </w:rPr>
              <w:t> </w:t>
            </w:r>
          </w:p>
        </w:tc>
        <w:tc>
          <w:tcPr>
            <w:tcW w:w="655" w:type="dxa"/>
            <w:vAlign w:val="center"/>
          </w:tcPr>
          <w:p w:rsidR="00F60C27" w:rsidRPr="00396C98" w:rsidRDefault="00F60C27" w:rsidP="00F60C27">
            <w:pPr>
              <w:spacing w:after="0"/>
              <w:jc w:val="center"/>
              <w:rPr>
                <w:rFonts w:asciiTheme="minorHAnsi" w:hAnsiTheme="minorHAnsi" w:cstheme="minorHAnsi"/>
                <w:sz w:val="18"/>
                <w:szCs w:val="18"/>
              </w:rPr>
            </w:pPr>
            <w:r w:rsidRPr="00396C98">
              <w:rPr>
                <w:rFonts w:asciiTheme="minorHAnsi" w:hAnsiTheme="minorHAnsi" w:cstheme="minorHAnsi"/>
                <w:color w:val="000000"/>
                <w:sz w:val="18"/>
                <w:szCs w:val="18"/>
              </w:rPr>
              <w:t>2020</w:t>
            </w:r>
          </w:p>
        </w:tc>
        <w:tc>
          <w:tcPr>
            <w:tcW w:w="1181" w:type="dxa"/>
          </w:tcPr>
          <w:p w:rsidR="00F60C27" w:rsidRPr="00396C98" w:rsidRDefault="00F60C27" w:rsidP="005C37B2">
            <w:pPr>
              <w:spacing w:after="0" w:line="240" w:lineRule="auto"/>
              <w:jc w:val="center"/>
              <w:rPr>
                <w:rFonts w:asciiTheme="minorHAnsi" w:hAnsiTheme="minorHAnsi" w:cstheme="minorHAnsi"/>
                <w:color w:val="000000"/>
                <w:sz w:val="18"/>
                <w:szCs w:val="18"/>
              </w:rPr>
            </w:pPr>
            <w:r w:rsidRPr="00396C98">
              <w:rPr>
                <w:rFonts w:asciiTheme="minorHAnsi" w:hAnsiTheme="minorHAnsi" w:cstheme="minorHAnsi"/>
                <w:color w:val="000000"/>
                <w:sz w:val="18"/>
                <w:szCs w:val="18"/>
              </w:rPr>
              <w:t>1.51</w:t>
            </w:r>
          </w:p>
        </w:tc>
        <w:tc>
          <w:tcPr>
            <w:tcW w:w="1226" w:type="dxa"/>
          </w:tcPr>
          <w:p w:rsidR="00F60C27" w:rsidRPr="00396C98" w:rsidRDefault="00F60C27" w:rsidP="005C37B2">
            <w:pPr>
              <w:spacing w:after="0" w:line="240" w:lineRule="auto"/>
              <w:jc w:val="center"/>
              <w:rPr>
                <w:rFonts w:asciiTheme="minorHAnsi" w:hAnsiTheme="minorHAnsi" w:cstheme="minorHAnsi"/>
                <w:color w:val="000000"/>
                <w:sz w:val="18"/>
                <w:szCs w:val="18"/>
              </w:rPr>
            </w:pPr>
            <w:r w:rsidRPr="00396C98">
              <w:rPr>
                <w:rFonts w:asciiTheme="minorHAnsi" w:hAnsiTheme="minorHAnsi" w:cstheme="minorHAnsi"/>
                <w:color w:val="000000"/>
                <w:sz w:val="18"/>
                <w:szCs w:val="18"/>
              </w:rPr>
              <w:t>3.59</w:t>
            </w:r>
          </w:p>
        </w:tc>
        <w:tc>
          <w:tcPr>
            <w:tcW w:w="596" w:type="dxa"/>
            <w:vAlign w:val="center"/>
          </w:tcPr>
          <w:p w:rsidR="00F60C27" w:rsidRPr="00396C98" w:rsidRDefault="00F60C27" w:rsidP="00F60C27">
            <w:pPr>
              <w:spacing w:after="0"/>
              <w:jc w:val="right"/>
              <w:rPr>
                <w:rFonts w:asciiTheme="minorHAnsi" w:hAnsiTheme="minorHAnsi" w:cstheme="minorHAnsi"/>
                <w:color w:val="000000"/>
                <w:sz w:val="18"/>
                <w:szCs w:val="18"/>
              </w:rPr>
            </w:pPr>
            <w:r w:rsidRPr="00396C98">
              <w:rPr>
                <w:rFonts w:asciiTheme="minorHAnsi" w:hAnsiTheme="minorHAnsi" w:cstheme="minorHAnsi"/>
                <w:color w:val="000000"/>
                <w:sz w:val="18"/>
                <w:szCs w:val="18"/>
              </w:rPr>
              <w:t>5.1</w:t>
            </w:r>
            <w:r w:rsidR="00CD5296" w:rsidRPr="00396C98">
              <w:rPr>
                <w:rFonts w:asciiTheme="minorHAnsi" w:hAnsiTheme="minorHAnsi" w:cstheme="minorHAnsi"/>
                <w:color w:val="000000"/>
                <w:sz w:val="18"/>
                <w:szCs w:val="18"/>
              </w:rPr>
              <w:t>0</w:t>
            </w:r>
          </w:p>
        </w:tc>
      </w:tr>
      <w:tr w:rsidR="00F60C27" w:rsidRPr="00D876EE" w:rsidTr="00396C98">
        <w:trPr>
          <w:cnfStyle w:val="000000100000" w:firstRow="0" w:lastRow="0" w:firstColumn="0" w:lastColumn="0" w:oddVBand="0" w:evenVBand="0" w:oddHBand="1" w:evenHBand="0" w:firstRowFirstColumn="0" w:firstRowLastColumn="0" w:lastRowFirstColumn="0" w:lastRowLastColumn="0"/>
          <w:trHeight w:val="227"/>
        </w:trPr>
        <w:tc>
          <w:tcPr>
            <w:tcW w:w="1088" w:type="dxa"/>
            <w:tcBorders>
              <w:left w:val="single" w:sz="4" w:space="0" w:color="5B9BD5" w:themeColor="accent1"/>
            </w:tcBorders>
            <w:noWrap/>
            <w:vAlign w:val="center"/>
          </w:tcPr>
          <w:p w:rsidR="00F60C27" w:rsidRPr="00396C98" w:rsidRDefault="00F60C27" w:rsidP="00F60C27">
            <w:pPr>
              <w:spacing w:after="0"/>
              <w:jc w:val="both"/>
              <w:rPr>
                <w:rFonts w:asciiTheme="minorHAnsi" w:hAnsiTheme="minorHAnsi" w:cstheme="minorHAnsi"/>
                <w:b/>
                <w:color w:val="000000"/>
                <w:sz w:val="18"/>
                <w:szCs w:val="18"/>
              </w:rPr>
            </w:pPr>
            <w:r w:rsidRPr="00396C98">
              <w:rPr>
                <w:rFonts w:asciiTheme="minorHAnsi" w:hAnsiTheme="minorHAnsi" w:cstheme="minorHAnsi"/>
                <w:b/>
                <w:bCs/>
                <w:sz w:val="18"/>
                <w:szCs w:val="18"/>
              </w:rPr>
              <w:t> </w:t>
            </w:r>
          </w:p>
        </w:tc>
        <w:tc>
          <w:tcPr>
            <w:tcW w:w="714" w:type="dxa"/>
            <w:noWrap/>
            <w:vAlign w:val="center"/>
          </w:tcPr>
          <w:p w:rsidR="00F60C27" w:rsidRPr="00396C98" w:rsidRDefault="00F60C27" w:rsidP="00F60C27">
            <w:pPr>
              <w:spacing w:after="0"/>
              <w:jc w:val="center"/>
              <w:rPr>
                <w:rFonts w:asciiTheme="minorHAnsi" w:hAnsiTheme="minorHAnsi" w:cstheme="minorHAnsi"/>
                <w:color w:val="000000"/>
                <w:sz w:val="18"/>
                <w:szCs w:val="18"/>
              </w:rPr>
            </w:pPr>
            <w:r w:rsidRPr="00396C98">
              <w:rPr>
                <w:rFonts w:asciiTheme="minorHAnsi" w:hAnsiTheme="minorHAnsi" w:cstheme="minorHAnsi"/>
                <w:color w:val="000000"/>
                <w:sz w:val="18"/>
                <w:szCs w:val="18"/>
              </w:rPr>
              <w:t>2025</w:t>
            </w:r>
          </w:p>
        </w:tc>
        <w:tc>
          <w:tcPr>
            <w:tcW w:w="1141" w:type="dxa"/>
            <w:noWrap/>
            <w:vAlign w:val="center"/>
          </w:tcPr>
          <w:p w:rsidR="00F60C27" w:rsidRPr="00396C98" w:rsidRDefault="00CD5296" w:rsidP="00F60C27">
            <w:pPr>
              <w:spacing w:after="0"/>
              <w:jc w:val="center"/>
              <w:rPr>
                <w:rFonts w:asciiTheme="minorHAnsi" w:hAnsiTheme="minorHAnsi" w:cstheme="minorHAnsi"/>
                <w:sz w:val="18"/>
                <w:szCs w:val="18"/>
              </w:rPr>
            </w:pPr>
            <w:r w:rsidRPr="00396C98">
              <w:rPr>
                <w:rFonts w:asciiTheme="minorHAnsi" w:hAnsiTheme="minorHAnsi" w:cstheme="minorHAnsi"/>
                <w:color w:val="000000"/>
                <w:sz w:val="18"/>
                <w:szCs w:val="18"/>
              </w:rPr>
              <w:t>0.97</w:t>
            </w:r>
          </w:p>
        </w:tc>
        <w:tc>
          <w:tcPr>
            <w:tcW w:w="1134" w:type="dxa"/>
            <w:noWrap/>
            <w:vAlign w:val="center"/>
          </w:tcPr>
          <w:p w:rsidR="00F60C27" w:rsidRPr="00396C98" w:rsidRDefault="00CD5296" w:rsidP="00F60C27">
            <w:pPr>
              <w:spacing w:after="0"/>
              <w:jc w:val="center"/>
              <w:rPr>
                <w:rFonts w:asciiTheme="minorHAnsi" w:hAnsiTheme="minorHAnsi" w:cstheme="minorHAnsi"/>
                <w:sz w:val="18"/>
                <w:szCs w:val="18"/>
              </w:rPr>
            </w:pPr>
            <w:r w:rsidRPr="00396C98">
              <w:rPr>
                <w:rFonts w:asciiTheme="minorHAnsi" w:hAnsiTheme="minorHAnsi" w:cstheme="minorHAnsi"/>
                <w:color w:val="000000"/>
                <w:sz w:val="18"/>
                <w:szCs w:val="18"/>
              </w:rPr>
              <w:t>2.55</w:t>
            </w:r>
          </w:p>
        </w:tc>
        <w:tc>
          <w:tcPr>
            <w:tcW w:w="596" w:type="dxa"/>
            <w:tcBorders>
              <w:right w:val="single" w:sz="2" w:space="0" w:color="5B9BD5" w:themeColor="accent1"/>
            </w:tcBorders>
            <w:vAlign w:val="center"/>
          </w:tcPr>
          <w:p w:rsidR="00F60C27" w:rsidRPr="00396C98" w:rsidRDefault="00CD5296" w:rsidP="00F60C27">
            <w:pPr>
              <w:spacing w:after="0"/>
              <w:jc w:val="center"/>
              <w:rPr>
                <w:rFonts w:asciiTheme="minorHAnsi" w:hAnsiTheme="minorHAnsi" w:cstheme="minorHAnsi"/>
                <w:sz w:val="18"/>
                <w:szCs w:val="18"/>
              </w:rPr>
            </w:pPr>
            <w:r w:rsidRPr="00396C98">
              <w:rPr>
                <w:rFonts w:asciiTheme="minorHAnsi" w:hAnsiTheme="minorHAnsi" w:cstheme="minorHAnsi"/>
                <w:sz w:val="18"/>
                <w:szCs w:val="18"/>
              </w:rPr>
              <w:t>3.53</w:t>
            </w:r>
          </w:p>
        </w:tc>
        <w:tc>
          <w:tcPr>
            <w:tcW w:w="1247" w:type="dxa"/>
            <w:tcBorders>
              <w:left w:val="single" w:sz="2" w:space="0" w:color="5B9BD5" w:themeColor="accent1"/>
            </w:tcBorders>
            <w:vAlign w:val="center"/>
          </w:tcPr>
          <w:p w:rsidR="00F60C27" w:rsidRPr="00396C98" w:rsidRDefault="00F60C27" w:rsidP="00F60C27">
            <w:pPr>
              <w:spacing w:after="0"/>
              <w:rPr>
                <w:rFonts w:asciiTheme="minorHAnsi" w:hAnsiTheme="minorHAnsi" w:cstheme="minorHAnsi"/>
                <w:sz w:val="18"/>
                <w:szCs w:val="18"/>
              </w:rPr>
            </w:pPr>
            <w:r w:rsidRPr="00396C98">
              <w:rPr>
                <w:rFonts w:asciiTheme="minorHAnsi" w:hAnsiTheme="minorHAnsi" w:cstheme="minorHAnsi"/>
                <w:b/>
                <w:bCs/>
                <w:sz w:val="18"/>
                <w:szCs w:val="18"/>
              </w:rPr>
              <w:t> </w:t>
            </w:r>
          </w:p>
        </w:tc>
        <w:tc>
          <w:tcPr>
            <w:tcW w:w="655" w:type="dxa"/>
            <w:vAlign w:val="center"/>
          </w:tcPr>
          <w:p w:rsidR="00F60C27" w:rsidRPr="00396C98" w:rsidRDefault="00F60C27" w:rsidP="00F60C27">
            <w:pPr>
              <w:spacing w:after="0"/>
              <w:jc w:val="center"/>
              <w:rPr>
                <w:rFonts w:asciiTheme="minorHAnsi" w:hAnsiTheme="minorHAnsi" w:cstheme="minorHAnsi"/>
                <w:sz w:val="18"/>
                <w:szCs w:val="18"/>
              </w:rPr>
            </w:pPr>
            <w:r w:rsidRPr="00396C98">
              <w:rPr>
                <w:rFonts w:asciiTheme="minorHAnsi" w:hAnsiTheme="minorHAnsi" w:cstheme="minorHAnsi"/>
                <w:color w:val="000000"/>
                <w:sz w:val="18"/>
                <w:szCs w:val="18"/>
              </w:rPr>
              <w:t>2025</w:t>
            </w:r>
          </w:p>
        </w:tc>
        <w:tc>
          <w:tcPr>
            <w:tcW w:w="1181" w:type="dxa"/>
          </w:tcPr>
          <w:p w:rsidR="00F60C27" w:rsidRPr="00396C98" w:rsidRDefault="00F60C27" w:rsidP="005C37B2">
            <w:pPr>
              <w:spacing w:after="0" w:line="240" w:lineRule="auto"/>
              <w:jc w:val="center"/>
              <w:rPr>
                <w:rFonts w:asciiTheme="minorHAnsi" w:hAnsiTheme="minorHAnsi" w:cstheme="minorHAnsi"/>
                <w:color w:val="000000"/>
                <w:sz w:val="18"/>
                <w:szCs w:val="18"/>
              </w:rPr>
            </w:pPr>
            <w:r w:rsidRPr="00396C98">
              <w:rPr>
                <w:rFonts w:asciiTheme="minorHAnsi" w:hAnsiTheme="minorHAnsi" w:cstheme="minorHAnsi"/>
                <w:color w:val="000000"/>
                <w:sz w:val="18"/>
                <w:szCs w:val="18"/>
              </w:rPr>
              <w:t>1.52</w:t>
            </w:r>
          </w:p>
        </w:tc>
        <w:tc>
          <w:tcPr>
            <w:tcW w:w="1226" w:type="dxa"/>
          </w:tcPr>
          <w:p w:rsidR="00F60C27" w:rsidRPr="00396C98" w:rsidRDefault="00F60C27" w:rsidP="005C37B2">
            <w:pPr>
              <w:spacing w:after="0" w:line="240" w:lineRule="auto"/>
              <w:jc w:val="center"/>
              <w:rPr>
                <w:rFonts w:asciiTheme="minorHAnsi" w:hAnsiTheme="minorHAnsi" w:cstheme="minorHAnsi"/>
                <w:color w:val="000000"/>
                <w:sz w:val="18"/>
                <w:szCs w:val="18"/>
              </w:rPr>
            </w:pPr>
            <w:r w:rsidRPr="00396C98">
              <w:rPr>
                <w:rFonts w:asciiTheme="minorHAnsi" w:hAnsiTheme="minorHAnsi" w:cstheme="minorHAnsi"/>
                <w:color w:val="000000"/>
                <w:sz w:val="18"/>
                <w:szCs w:val="18"/>
              </w:rPr>
              <w:t>3.63</w:t>
            </w:r>
          </w:p>
        </w:tc>
        <w:tc>
          <w:tcPr>
            <w:tcW w:w="596" w:type="dxa"/>
            <w:vAlign w:val="center"/>
          </w:tcPr>
          <w:p w:rsidR="00F60C27" w:rsidRPr="00396C98" w:rsidRDefault="00F60C27" w:rsidP="00F60C27">
            <w:pPr>
              <w:spacing w:after="0"/>
              <w:jc w:val="right"/>
              <w:rPr>
                <w:rFonts w:asciiTheme="minorHAnsi" w:hAnsiTheme="minorHAnsi" w:cstheme="minorHAnsi"/>
                <w:color w:val="000000"/>
                <w:sz w:val="18"/>
                <w:szCs w:val="18"/>
              </w:rPr>
            </w:pPr>
            <w:r w:rsidRPr="00396C98">
              <w:rPr>
                <w:rFonts w:asciiTheme="minorHAnsi" w:hAnsiTheme="minorHAnsi" w:cstheme="minorHAnsi"/>
                <w:color w:val="000000"/>
                <w:sz w:val="18"/>
                <w:szCs w:val="18"/>
              </w:rPr>
              <w:t>5.15</w:t>
            </w:r>
          </w:p>
        </w:tc>
      </w:tr>
      <w:tr w:rsidR="00F60C27" w:rsidRPr="00D876EE" w:rsidTr="00396C98">
        <w:trPr>
          <w:trHeight w:val="227"/>
        </w:trPr>
        <w:tc>
          <w:tcPr>
            <w:tcW w:w="1088" w:type="dxa"/>
            <w:tcBorders>
              <w:top w:val="single" w:sz="4" w:space="0" w:color="5B9BD5" w:themeColor="accent1"/>
              <w:left w:val="single" w:sz="4" w:space="0" w:color="5B9BD5" w:themeColor="accent1"/>
              <w:bottom w:val="single" w:sz="4" w:space="0" w:color="5B9BD5" w:themeColor="accent1"/>
            </w:tcBorders>
            <w:noWrap/>
            <w:vAlign w:val="center"/>
          </w:tcPr>
          <w:p w:rsidR="00F60C27" w:rsidRPr="00396C98" w:rsidRDefault="00F60C27" w:rsidP="00F60C27">
            <w:pPr>
              <w:spacing w:after="0"/>
              <w:jc w:val="both"/>
              <w:rPr>
                <w:rFonts w:asciiTheme="minorHAnsi" w:hAnsiTheme="minorHAnsi" w:cstheme="minorHAnsi"/>
                <w:b/>
                <w:color w:val="000000"/>
                <w:sz w:val="18"/>
                <w:szCs w:val="18"/>
              </w:rPr>
            </w:pPr>
            <w:r w:rsidRPr="00396C98">
              <w:rPr>
                <w:rFonts w:asciiTheme="minorHAnsi" w:hAnsiTheme="minorHAnsi" w:cstheme="minorHAnsi"/>
                <w:b/>
                <w:bCs/>
                <w:sz w:val="18"/>
                <w:szCs w:val="18"/>
              </w:rPr>
              <w:t> </w:t>
            </w:r>
          </w:p>
        </w:tc>
        <w:tc>
          <w:tcPr>
            <w:tcW w:w="714" w:type="dxa"/>
            <w:noWrap/>
            <w:vAlign w:val="center"/>
          </w:tcPr>
          <w:p w:rsidR="00F60C27" w:rsidRPr="00396C98" w:rsidRDefault="00F60C27" w:rsidP="00F60C27">
            <w:pPr>
              <w:spacing w:after="0"/>
              <w:jc w:val="center"/>
              <w:rPr>
                <w:rFonts w:asciiTheme="minorHAnsi" w:hAnsiTheme="minorHAnsi" w:cstheme="minorHAnsi"/>
                <w:color w:val="000000"/>
                <w:sz w:val="18"/>
                <w:szCs w:val="18"/>
              </w:rPr>
            </w:pPr>
            <w:r w:rsidRPr="00396C98">
              <w:rPr>
                <w:rFonts w:asciiTheme="minorHAnsi" w:hAnsiTheme="minorHAnsi" w:cstheme="minorHAnsi"/>
                <w:color w:val="000000"/>
                <w:sz w:val="18"/>
                <w:szCs w:val="18"/>
              </w:rPr>
              <w:t>2030</w:t>
            </w:r>
          </w:p>
        </w:tc>
        <w:tc>
          <w:tcPr>
            <w:tcW w:w="1141" w:type="dxa"/>
            <w:noWrap/>
            <w:vAlign w:val="center"/>
          </w:tcPr>
          <w:p w:rsidR="00F60C27" w:rsidRPr="00396C98" w:rsidRDefault="00CD5296" w:rsidP="00F60C27">
            <w:pPr>
              <w:spacing w:after="0"/>
              <w:jc w:val="center"/>
              <w:rPr>
                <w:rFonts w:asciiTheme="minorHAnsi" w:hAnsiTheme="minorHAnsi" w:cstheme="minorHAnsi"/>
                <w:sz w:val="18"/>
                <w:szCs w:val="18"/>
              </w:rPr>
            </w:pPr>
            <w:r w:rsidRPr="00396C98">
              <w:rPr>
                <w:rFonts w:asciiTheme="minorHAnsi" w:hAnsiTheme="minorHAnsi" w:cstheme="minorHAnsi"/>
                <w:color w:val="000000"/>
                <w:sz w:val="18"/>
                <w:szCs w:val="18"/>
              </w:rPr>
              <w:t>1.00</w:t>
            </w:r>
          </w:p>
        </w:tc>
        <w:tc>
          <w:tcPr>
            <w:tcW w:w="1134" w:type="dxa"/>
            <w:noWrap/>
            <w:vAlign w:val="center"/>
          </w:tcPr>
          <w:p w:rsidR="00F60C27" w:rsidRPr="00396C98" w:rsidRDefault="00CD5296" w:rsidP="00F60C27">
            <w:pPr>
              <w:spacing w:after="0"/>
              <w:jc w:val="center"/>
              <w:rPr>
                <w:rFonts w:asciiTheme="minorHAnsi" w:hAnsiTheme="minorHAnsi" w:cstheme="minorHAnsi"/>
                <w:sz w:val="18"/>
                <w:szCs w:val="18"/>
              </w:rPr>
            </w:pPr>
            <w:r w:rsidRPr="00396C98">
              <w:rPr>
                <w:rFonts w:asciiTheme="minorHAnsi" w:hAnsiTheme="minorHAnsi" w:cstheme="minorHAnsi"/>
                <w:color w:val="000000"/>
                <w:sz w:val="18"/>
                <w:szCs w:val="18"/>
              </w:rPr>
              <w:t>2.66</w:t>
            </w:r>
          </w:p>
        </w:tc>
        <w:tc>
          <w:tcPr>
            <w:tcW w:w="596" w:type="dxa"/>
            <w:tcBorders>
              <w:right w:val="single" w:sz="2" w:space="0" w:color="5B9BD5" w:themeColor="accent1"/>
            </w:tcBorders>
            <w:vAlign w:val="center"/>
          </w:tcPr>
          <w:p w:rsidR="00F60C27" w:rsidRPr="00396C98" w:rsidRDefault="00CD5296" w:rsidP="00F60C27">
            <w:pPr>
              <w:spacing w:after="0"/>
              <w:jc w:val="center"/>
              <w:rPr>
                <w:rFonts w:asciiTheme="minorHAnsi" w:hAnsiTheme="minorHAnsi" w:cstheme="minorHAnsi"/>
                <w:sz w:val="18"/>
                <w:szCs w:val="18"/>
              </w:rPr>
            </w:pPr>
            <w:r w:rsidRPr="00396C98">
              <w:rPr>
                <w:rFonts w:asciiTheme="minorHAnsi" w:hAnsiTheme="minorHAnsi" w:cstheme="minorHAnsi"/>
                <w:sz w:val="18"/>
                <w:szCs w:val="18"/>
              </w:rPr>
              <w:t>3.66</w:t>
            </w:r>
          </w:p>
        </w:tc>
        <w:tc>
          <w:tcPr>
            <w:tcW w:w="1247" w:type="dxa"/>
            <w:tcBorders>
              <w:top w:val="single" w:sz="4" w:space="0" w:color="5B9BD5" w:themeColor="accent1"/>
              <w:left w:val="single" w:sz="2" w:space="0" w:color="5B9BD5" w:themeColor="accent1"/>
              <w:bottom w:val="single" w:sz="4" w:space="0" w:color="5B9BD5" w:themeColor="accent1"/>
            </w:tcBorders>
            <w:vAlign w:val="center"/>
          </w:tcPr>
          <w:p w:rsidR="00F60C27" w:rsidRPr="00396C98" w:rsidRDefault="00F60C27" w:rsidP="00F60C27">
            <w:pPr>
              <w:spacing w:after="0"/>
              <w:rPr>
                <w:rFonts w:asciiTheme="minorHAnsi" w:hAnsiTheme="minorHAnsi" w:cstheme="minorHAnsi"/>
                <w:sz w:val="18"/>
                <w:szCs w:val="18"/>
              </w:rPr>
            </w:pPr>
            <w:r w:rsidRPr="00396C98">
              <w:rPr>
                <w:rFonts w:asciiTheme="minorHAnsi" w:hAnsiTheme="minorHAnsi" w:cstheme="minorHAnsi"/>
                <w:sz w:val="18"/>
                <w:szCs w:val="18"/>
              </w:rPr>
              <w:t> </w:t>
            </w:r>
          </w:p>
        </w:tc>
        <w:tc>
          <w:tcPr>
            <w:tcW w:w="655" w:type="dxa"/>
            <w:vAlign w:val="center"/>
          </w:tcPr>
          <w:p w:rsidR="00F60C27" w:rsidRPr="00396C98" w:rsidRDefault="00F60C27" w:rsidP="00F60C27">
            <w:pPr>
              <w:spacing w:after="0"/>
              <w:jc w:val="center"/>
              <w:rPr>
                <w:rFonts w:asciiTheme="minorHAnsi" w:hAnsiTheme="minorHAnsi" w:cstheme="minorHAnsi"/>
                <w:sz w:val="18"/>
                <w:szCs w:val="18"/>
              </w:rPr>
            </w:pPr>
            <w:r w:rsidRPr="00396C98">
              <w:rPr>
                <w:rFonts w:asciiTheme="minorHAnsi" w:hAnsiTheme="minorHAnsi" w:cstheme="minorHAnsi"/>
                <w:color w:val="000000"/>
                <w:sz w:val="18"/>
                <w:szCs w:val="18"/>
              </w:rPr>
              <w:t>2030</w:t>
            </w:r>
          </w:p>
        </w:tc>
        <w:tc>
          <w:tcPr>
            <w:tcW w:w="1181" w:type="dxa"/>
          </w:tcPr>
          <w:p w:rsidR="00F60C27" w:rsidRPr="00396C98" w:rsidRDefault="00F60C27" w:rsidP="005C37B2">
            <w:pPr>
              <w:spacing w:after="0" w:line="240" w:lineRule="auto"/>
              <w:jc w:val="center"/>
              <w:rPr>
                <w:rFonts w:asciiTheme="minorHAnsi" w:hAnsiTheme="minorHAnsi" w:cstheme="minorHAnsi"/>
                <w:color w:val="000000"/>
                <w:sz w:val="18"/>
                <w:szCs w:val="18"/>
              </w:rPr>
            </w:pPr>
            <w:r w:rsidRPr="00396C98">
              <w:rPr>
                <w:rFonts w:asciiTheme="minorHAnsi" w:hAnsiTheme="minorHAnsi" w:cstheme="minorHAnsi"/>
                <w:color w:val="000000"/>
                <w:sz w:val="18"/>
                <w:szCs w:val="18"/>
              </w:rPr>
              <w:t>1.54</w:t>
            </w:r>
          </w:p>
        </w:tc>
        <w:tc>
          <w:tcPr>
            <w:tcW w:w="1226" w:type="dxa"/>
          </w:tcPr>
          <w:p w:rsidR="00F60C27" w:rsidRPr="00396C98" w:rsidRDefault="00F60C27" w:rsidP="005C37B2">
            <w:pPr>
              <w:spacing w:after="0" w:line="240" w:lineRule="auto"/>
              <w:jc w:val="center"/>
              <w:rPr>
                <w:rFonts w:asciiTheme="minorHAnsi" w:hAnsiTheme="minorHAnsi" w:cstheme="minorHAnsi"/>
                <w:color w:val="000000"/>
                <w:sz w:val="18"/>
                <w:szCs w:val="18"/>
              </w:rPr>
            </w:pPr>
            <w:r w:rsidRPr="00396C98">
              <w:rPr>
                <w:rFonts w:asciiTheme="minorHAnsi" w:hAnsiTheme="minorHAnsi" w:cstheme="minorHAnsi"/>
                <w:color w:val="000000"/>
                <w:sz w:val="18"/>
                <w:szCs w:val="18"/>
              </w:rPr>
              <w:t>3.68</w:t>
            </w:r>
          </w:p>
        </w:tc>
        <w:tc>
          <w:tcPr>
            <w:tcW w:w="596" w:type="dxa"/>
            <w:vAlign w:val="center"/>
          </w:tcPr>
          <w:p w:rsidR="00F60C27" w:rsidRPr="00396C98" w:rsidRDefault="00F60C27" w:rsidP="00F60C27">
            <w:pPr>
              <w:spacing w:after="0"/>
              <w:jc w:val="right"/>
              <w:rPr>
                <w:rFonts w:asciiTheme="minorHAnsi" w:hAnsiTheme="minorHAnsi" w:cstheme="minorHAnsi"/>
                <w:color w:val="000000"/>
                <w:sz w:val="18"/>
                <w:szCs w:val="18"/>
              </w:rPr>
            </w:pPr>
            <w:r w:rsidRPr="00396C98">
              <w:rPr>
                <w:rFonts w:asciiTheme="minorHAnsi" w:hAnsiTheme="minorHAnsi" w:cstheme="minorHAnsi"/>
                <w:color w:val="000000"/>
                <w:sz w:val="18"/>
                <w:szCs w:val="18"/>
              </w:rPr>
              <w:t>5.22</w:t>
            </w:r>
          </w:p>
        </w:tc>
      </w:tr>
      <w:tr w:rsidR="00F60C27" w:rsidRPr="00D876EE" w:rsidTr="00396C98">
        <w:trPr>
          <w:cnfStyle w:val="000000100000" w:firstRow="0" w:lastRow="0" w:firstColumn="0" w:lastColumn="0" w:oddVBand="0" w:evenVBand="0" w:oddHBand="1" w:evenHBand="0" w:firstRowFirstColumn="0" w:firstRowLastColumn="0" w:lastRowFirstColumn="0" w:lastRowLastColumn="0"/>
          <w:trHeight w:val="227"/>
        </w:trPr>
        <w:tc>
          <w:tcPr>
            <w:tcW w:w="1088" w:type="dxa"/>
            <w:tcBorders>
              <w:left w:val="single" w:sz="4" w:space="0" w:color="5B9BD5" w:themeColor="accent1"/>
            </w:tcBorders>
            <w:noWrap/>
            <w:vAlign w:val="center"/>
            <w:hideMark/>
          </w:tcPr>
          <w:p w:rsidR="00F60C27" w:rsidRPr="00396C98" w:rsidRDefault="00F60C27" w:rsidP="00F60C27">
            <w:pPr>
              <w:spacing w:after="0"/>
              <w:jc w:val="both"/>
              <w:rPr>
                <w:rFonts w:asciiTheme="minorHAnsi" w:hAnsiTheme="minorHAnsi" w:cstheme="minorHAnsi"/>
                <w:sz w:val="18"/>
                <w:szCs w:val="18"/>
              </w:rPr>
            </w:pPr>
            <w:r w:rsidRPr="00396C98">
              <w:rPr>
                <w:rFonts w:asciiTheme="minorHAnsi" w:hAnsiTheme="minorHAnsi" w:cstheme="minorHAnsi"/>
                <w:b/>
                <w:bCs/>
                <w:sz w:val="18"/>
                <w:szCs w:val="18"/>
              </w:rPr>
              <w:t>India</w:t>
            </w:r>
          </w:p>
        </w:tc>
        <w:tc>
          <w:tcPr>
            <w:tcW w:w="714" w:type="dxa"/>
            <w:noWrap/>
            <w:vAlign w:val="center"/>
            <w:hideMark/>
          </w:tcPr>
          <w:p w:rsidR="00F60C27" w:rsidRPr="00396C98" w:rsidRDefault="00F60C27" w:rsidP="00F60C27">
            <w:pPr>
              <w:spacing w:after="0"/>
              <w:jc w:val="center"/>
              <w:rPr>
                <w:rFonts w:asciiTheme="minorHAnsi" w:hAnsiTheme="minorHAnsi" w:cstheme="minorHAnsi"/>
                <w:sz w:val="18"/>
                <w:szCs w:val="18"/>
              </w:rPr>
            </w:pPr>
            <w:r w:rsidRPr="00396C98">
              <w:rPr>
                <w:rFonts w:asciiTheme="minorHAnsi" w:hAnsiTheme="minorHAnsi" w:cstheme="minorHAnsi"/>
                <w:color w:val="000000"/>
                <w:sz w:val="18"/>
                <w:szCs w:val="18"/>
              </w:rPr>
              <w:t>2015</w:t>
            </w:r>
          </w:p>
        </w:tc>
        <w:tc>
          <w:tcPr>
            <w:tcW w:w="1141" w:type="dxa"/>
            <w:noWrap/>
            <w:hideMark/>
          </w:tcPr>
          <w:p w:rsidR="00F60C27" w:rsidRPr="00396C98" w:rsidRDefault="00F60C27" w:rsidP="005C37B2">
            <w:pPr>
              <w:spacing w:after="0"/>
              <w:jc w:val="center"/>
              <w:rPr>
                <w:rFonts w:asciiTheme="minorHAnsi" w:hAnsiTheme="minorHAnsi" w:cstheme="minorHAnsi"/>
                <w:sz w:val="18"/>
                <w:szCs w:val="18"/>
              </w:rPr>
            </w:pPr>
            <w:r w:rsidRPr="00396C98">
              <w:rPr>
                <w:rFonts w:asciiTheme="minorHAnsi" w:hAnsiTheme="minorHAnsi" w:cstheme="minorHAnsi"/>
                <w:sz w:val="18"/>
                <w:szCs w:val="18"/>
              </w:rPr>
              <w:t>1.33</w:t>
            </w:r>
          </w:p>
        </w:tc>
        <w:tc>
          <w:tcPr>
            <w:tcW w:w="1134" w:type="dxa"/>
            <w:noWrap/>
            <w:hideMark/>
          </w:tcPr>
          <w:p w:rsidR="00F60C27" w:rsidRPr="00396C98" w:rsidRDefault="00F60C27" w:rsidP="005C37B2">
            <w:pPr>
              <w:spacing w:after="0"/>
              <w:jc w:val="center"/>
              <w:rPr>
                <w:rFonts w:asciiTheme="minorHAnsi" w:hAnsiTheme="minorHAnsi" w:cstheme="minorHAnsi"/>
                <w:sz w:val="18"/>
                <w:szCs w:val="18"/>
              </w:rPr>
            </w:pPr>
            <w:r w:rsidRPr="00396C98">
              <w:rPr>
                <w:rFonts w:asciiTheme="minorHAnsi" w:hAnsiTheme="minorHAnsi" w:cstheme="minorHAnsi"/>
                <w:sz w:val="18"/>
                <w:szCs w:val="18"/>
              </w:rPr>
              <w:t>3.29</w:t>
            </w:r>
          </w:p>
        </w:tc>
        <w:tc>
          <w:tcPr>
            <w:tcW w:w="596" w:type="dxa"/>
            <w:tcBorders>
              <w:right w:val="single" w:sz="2" w:space="0" w:color="5B9BD5" w:themeColor="accent1"/>
            </w:tcBorders>
            <w:vAlign w:val="center"/>
          </w:tcPr>
          <w:p w:rsidR="00F60C27" w:rsidRPr="00396C98" w:rsidRDefault="00F60C27" w:rsidP="00F60C27">
            <w:pPr>
              <w:spacing w:after="0"/>
              <w:jc w:val="right"/>
              <w:rPr>
                <w:rFonts w:asciiTheme="minorHAnsi" w:hAnsiTheme="minorHAnsi" w:cstheme="minorHAnsi"/>
                <w:color w:val="000000"/>
                <w:sz w:val="18"/>
                <w:szCs w:val="18"/>
              </w:rPr>
            </w:pPr>
            <w:r w:rsidRPr="00396C98">
              <w:rPr>
                <w:rFonts w:asciiTheme="minorHAnsi" w:hAnsiTheme="minorHAnsi" w:cstheme="minorHAnsi"/>
                <w:color w:val="000000"/>
                <w:sz w:val="18"/>
                <w:szCs w:val="18"/>
              </w:rPr>
              <w:t>4.62</w:t>
            </w:r>
          </w:p>
        </w:tc>
        <w:tc>
          <w:tcPr>
            <w:tcW w:w="1247" w:type="dxa"/>
            <w:tcBorders>
              <w:left w:val="single" w:sz="2" w:space="0" w:color="5B9BD5" w:themeColor="accent1"/>
            </w:tcBorders>
            <w:vAlign w:val="center"/>
          </w:tcPr>
          <w:p w:rsidR="00F60C27" w:rsidRPr="00396C98" w:rsidRDefault="00F60C27" w:rsidP="00F60C27">
            <w:pPr>
              <w:spacing w:after="0"/>
              <w:rPr>
                <w:rFonts w:asciiTheme="minorHAnsi" w:hAnsiTheme="minorHAnsi" w:cstheme="minorHAnsi"/>
                <w:b/>
                <w:color w:val="000000"/>
                <w:sz w:val="18"/>
                <w:szCs w:val="18"/>
              </w:rPr>
            </w:pPr>
            <w:r w:rsidRPr="00396C98">
              <w:rPr>
                <w:rFonts w:asciiTheme="minorHAnsi" w:hAnsiTheme="minorHAnsi" w:cstheme="minorHAnsi"/>
                <w:b/>
                <w:sz w:val="18"/>
                <w:szCs w:val="18"/>
              </w:rPr>
              <w:t>Singapore</w:t>
            </w:r>
          </w:p>
        </w:tc>
        <w:tc>
          <w:tcPr>
            <w:tcW w:w="655" w:type="dxa"/>
            <w:vAlign w:val="center"/>
          </w:tcPr>
          <w:p w:rsidR="00F60C27" w:rsidRPr="00396C98" w:rsidRDefault="00F60C27" w:rsidP="00F60C27">
            <w:pPr>
              <w:spacing w:after="0"/>
              <w:jc w:val="center"/>
              <w:rPr>
                <w:rFonts w:asciiTheme="minorHAnsi" w:hAnsiTheme="minorHAnsi" w:cstheme="minorHAnsi"/>
                <w:color w:val="000000"/>
                <w:sz w:val="18"/>
                <w:szCs w:val="18"/>
              </w:rPr>
            </w:pPr>
            <w:r w:rsidRPr="00396C98">
              <w:rPr>
                <w:rFonts w:asciiTheme="minorHAnsi" w:hAnsiTheme="minorHAnsi" w:cstheme="minorHAnsi"/>
                <w:color w:val="000000"/>
                <w:sz w:val="18"/>
                <w:szCs w:val="18"/>
              </w:rPr>
              <w:t>2015</w:t>
            </w:r>
          </w:p>
        </w:tc>
        <w:tc>
          <w:tcPr>
            <w:tcW w:w="1181" w:type="dxa"/>
          </w:tcPr>
          <w:p w:rsidR="00F60C27" w:rsidRPr="00563642" w:rsidRDefault="00F60C27" w:rsidP="005C37B2">
            <w:pPr>
              <w:spacing w:after="0"/>
              <w:jc w:val="center"/>
              <w:rPr>
                <w:rFonts w:asciiTheme="minorHAnsi" w:hAnsiTheme="minorHAnsi" w:cstheme="minorHAnsi"/>
                <w:sz w:val="18"/>
                <w:szCs w:val="18"/>
              </w:rPr>
            </w:pPr>
            <w:r w:rsidRPr="00563642">
              <w:rPr>
                <w:rFonts w:asciiTheme="minorHAnsi" w:hAnsiTheme="minorHAnsi" w:cstheme="minorHAnsi"/>
                <w:sz w:val="18"/>
                <w:szCs w:val="18"/>
              </w:rPr>
              <w:t>0.95</w:t>
            </w:r>
          </w:p>
        </w:tc>
        <w:tc>
          <w:tcPr>
            <w:tcW w:w="1226" w:type="dxa"/>
          </w:tcPr>
          <w:p w:rsidR="00F60C27" w:rsidRPr="00563642" w:rsidRDefault="00F60C27" w:rsidP="005C37B2">
            <w:pPr>
              <w:spacing w:after="0"/>
              <w:jc w:val="center"/>
              <w:rPr>
                <w:rFonts w:asciiTheme="minorHAnsi" w:hAnsiTheme="minorHAnsi" w:cstheme="minorHAnsi"/>
                <w:sz w:val="18"/>
                <w:szCs w:val="18"/>
              </w:rPr>
            </w:pPr>
            <w:r w:rsidRPr="00563642">
              <w:rPr>
                <w:rFonts w:asciiTheme="minorHAnsi" w:hAnsiTheme="minorHAnsi" w:cstheme="minorHAnsi"/>
                <w:sz w:val="18"/>
                <w:szCs w:val="18"/>
              </w:rPr>
              <w:t>2.25</w:t>
            </w:r>
          </w:p>
        </w:tc>
        <w:tc>
          <w:tcPr>
            <w:tcW w:w="596" w:type="dxa"/>
          </w:tcPr>
          <w:p w:rsidR="00F60C27" w:rsidRPr="00563642" w:rsidRDefault="00F60C27" w:rsidP="00F60C27">
            <w:pPr>
              <w:spacing w:after="0"/>
              <w:jc w:val="right"/>
              <w:rPr>
                <w:rFonts w:asciiTheme="minorHAnsi" w:hAnsiTheme="minorHAnsi" w:cstheme="minorHAnsi"/>
                <w:color w:val="000000"/>
                <w:sz w:val="18"/>
                <w:szCs w:val="18"/>
              </w:rPr>
            </w:pPr>
            <w:r w:rsidRPr="00563642">
              <w:rPr>
                <w:rFonts w:asciiTheme="minorHAnsi" w:hAnsiTheme="minorHAnsi" w:cstheme="minorHAnsi"/>
                <w:sz w:val="18"/>
                <w:szCs w:val="18"/>
              </w:rPr>
              <w:t>3.20</w:t>
            </w:r>
          </w:p>
        </w:tc>
      </w:tr>
      <w:tr w:rsidR="00396C98" w:rsidRPr="00D876EE" w:rsidTr="00396C98">
        <w:trPr>
          <w:trHeight w:val="227"/>
        </w:trPr>
        <w:tc>
          <w:tcPr>
            <w:tcW w:w="1088" w:type="dxa"/>
            <w:tcBorders>
              <w:top w:val="single" w:sz="4" w:space="0" w:color="5B9BD5" w:themeColor="accent1"/>
              <w:left w:val="single" w:sz="4" w:space="0" w:color="5B9BD5" w:themeColor="accent1"/>
              <w:bottom w:val="single" w:sz="4" w:space="0" w:color="5B9BD5" w:themeColor="accent1"/>
            </w:tcBorders>
            <w:noWrap/>
            <w:vAlign w:val="center"/>
            <w:hideMark/>
          </w:tcPr>
          <w:p w:rsidR="00F60C27" w:rsidRPr="00396C98" w:rsidRDefault="00F60C27" w:rsidP="00F60C27">
            <w:pPr>
              <w:spacing w:after="0"/>
              <w:jc w:val="both"/>
              <w:rPr>
                <w:rFonts w:asciiTheme="minorHAnsi" w:hAnsiTheme="minorHAnsi" w:cstheme="minorHAnsi"/>
                <w:sz w:val="18"/>
                <w:szCs w:val="18"/>
              </w:rPr>
            </w:pPr>
            <w:r w:rsidRPr="00396C98">
              <w:rPr>
                <w:rFonts w:asciiTheme="minorHAnsi" w:hAnsiTheme="minorHAnsi" w:cstheme="minorHAnsi"/>
                <w:sz w:val="18"/>
                <w:szCs w:val="18"/>
              </w:rPr>
              <w:t> </w:t>
            </w:r>
          </w:p>
        </w:tc>
        <w:tc>
          <w:tcPr>
            <w:tcW w:w="714" w:type="dxa"/>
            <w:noWrap/>
            <w:vAlign w:val="center"/>
            <w:hideMark/>
          </w:tcPr>
          <w:p w:rsidR="00F60C27" w:rsidRPr="00396C98" w:rsidRDefault="00F60C27" w:rsidP="00F60C27">
            <w:pPr>
              <w:spacing w:after="0"/>
              <w:jc w:val="center"/>
              <w:rPr>
                <w:rFonts w:asciiTheme="minorHAnsi" w:hAnsiTheme="minorHAnsi" w:cstheme="minorHAnsi"/>
                <w:sz w:val="18"/>
                <w:szCs w:val="18"/>
              </w:rPr>
            </w:pPr>
            <w:r w:rsidRPr="00396C98">
              <w:rPr>
                <w:rFonts w:asciiTheme="minorHAnsi" w:hAnsiTheme="minorHAnsi" w:cstheme="minorHAnsi"/>
                <w:color w:val="000000"/>
                <w:sz w:val="18"/>
                <w:szCs w:val="18"/>
              </w:rPr>
              <w:t>2020</w:t>
            </w:r>
          </w:p>
        </w:tc>
        <w:tc>
          <w:tcPr>
            <w:tcW w:w="1141" w:type="dxa"/>
            <w:noWrap/>
            <w:hideMark/>
          </w:tcPr>
          <w:p w:rsidR="00F60C27" w:rsidRPr="00396C98" w:rsidRDefault="00F60C27" w:rsidP="005C37B2">
            <w:pPr>
              <w:spacing w:after="0"/>
              <w:jc w:val="center"/>
              <w:rPr>
                <w:rFonts w:asciiTheme="minorHAnsi" w:hAnsiTheme="minorHAnsi" w:cstheme="minorHAnsi"/>
                <w:sz w:val="18"/>
                <w:szCs w:val="18"/>
              </w:rPr>
            </w:pPr>
            <w:r w:rsidRPr="00396C98">
              <w:rPr>
                <w:rFonts w:asciiTheme="minorHAnsi" w:hAnsiTheme="minorHAnsi" w:cstheme="minorHAnsi"/>
                <w:sz w:val="18"/>
                <w:szCs w:val="18"/>
              </w:rPr>
              <w:t>1.34</w:t>
            </w:r>
          </w:p>
        </w:tc>
        <w:tc>
          <w:tcPr>
            <w:tcW w:w="1134" w:type="dxa"/>
            <w:noWrap/>
            <w:hideMark/>
          </w:tcPr>
          <w:p w:rsidR="00F60C27" w:rsidRPr="00396C98" w:rsidRDefault="00F60C27" w:rsidP="005C37B2">
            <w:pPr>
              <w:spacing w:after="0"/>
              <w:jc w:val="center"/>
              <w:rPr>
                <w:rFonts w:asciiTheme="minorHAnsi" w:hAnsiTheme="minorHAnsi" w:cstheme="minorHAnsi"/>
                <w:sz w:val="18"/>
                <w:szCs w:val="18"/>
              </w:rPr>
            </w:pPr>
            <w:r w:rsidRPr="00396C98">
              <w:rPr>
                <w:rFonts w:asciiTheme="minorHAnsi" w:hAnsiTheme="minorHAnsi" w:cstheme="minorHAnsi"/>
                <w:sz w:val="18"/>
                <w:szCs w:val="18"/>
              </w:rPr>
              <w:t>3.33</w:t>
            </w:r>
          </w:p>
        </w:tc>
        <w:tc>
          <w:tcPr>
            <w:tcW w:w="596" w:type="dxa"/>
            <w:tcBorders>
              <w:right w:val="single" w:sz="2" w:space="0" w:color="5B9BD5" w:themeColor="accent1"/>
            </w:tcBorders>
            <w:vAlign w:val="center"/>
          </w:tcPr>
          <w:p w:rsidR="00F60C27" w:rsidRPr="00396C98" w:rsidRDefault="00F60C27" w:rsidP="00F60C27">
            <w:pPr>
              <w:spacing w:after="0"/>
              <w:jc w:val="right"/>
              <w:rPr>
                <w:rFonts w:asciiTheme="minorHAnsi" w:hAnsiTheme="minorHAnsi" w:cstheme="minorHAnsi"/>
                <w:color w:val="000000"/>
                <w:sz w:val="18"/>
                <w:szCs w:val="18"/>
              </w:rPr>
            </w:pPr>
            <w:r w:rsidRPr="00396C98">
              <w:rPr>
                <w:rFonts w:asciiTheme="minorHAnsi" w:hAnsiTheme="minorHAnsi" w:cstheme="minorHAnsi"/>
                <w:color w:val="000000"/>
                <w:sz w:val="18"/>
                <w:szCs w:val="18"/>
              </w:rPr>
              <w:t>4.67</w:t>
            </w:r>
          </w:p>
        </w:tc>
        <w:tc>
          <w:tcPr>
            <w:tcW w:w="1247" w:type="dxa"/>
            <w:tcBorders>
              <w:top w:val="single" w:sz="4" w:space="0" w:color="5B9BD5" w:themeColor="accent1"/>
              <w:left w:val="single" w:sz="2" w:space="0" w:color="5B9BD5" w:themeColor="accent1"/>
              <w:bottom w:val="single" w:sz="4" w:space="0" w:color="5B9BD5" w:themeColor="accent1"/>
            </w:tcBorders>
            <w:vAlign w:val="bottom"/>
          </w:tcPr>
          <w:p w:rsidR="00F60C27" w:rsidRPr="00396C98" w:rsidRDefault="00F60C27" w:rsidP="00F60C27">
            <w:pPr>
              <w:spacing w:after="0"/>
              <w:rPr>
                <w:rFonts w:asciiTheme="minorHAnsi" w:hAnsiTheme="minorHAnsi" w:cstheme="minorHAnsi"/>
                <w:b/>
                <w:color w:val="000000"/>
                <w:sz w:val="18"/>
                <w:szCs w:val="18"/>
              </w:rPr>
            </w:pPr>
            <w:r w:rsidRPr="00396C98">
              <w:rPr>
                <w:rFonts w:asciiTheme="minorHAnsi" w:hAnsiTheme="minorHAnsi" w:cstheme="minorHAnsi"/>
                <w:color w:val="000000"/>
                <w:sz w:val="18"/>
                <w:szCs w:val="18"/>
              </w:rPr>
              <w:t> </w:t>
            </w:r>
          </w:p>
        </w:tc>
        <w:tc>
          <w:tcPr>
            <w:tcW w:w="655" w:type="dxa"/>
            <w:vAlign w:val="center"/>
          </w:tcPr>
          <w:p w:rsidR="00F60C27" w:rsidRPr="00396C98" w:rsidRDefault="00F60C27" w:rsidP="00F60C27">
            <w:pPr>
              <w:spacing w:after="0"/>
              <w:jc w:val="center"/>
              <w:rPr>
                <w:rFonts w:asciiTheme="minorHAnsi" w:hAnsiTheme="minorHAnsi" w:cstheme="minorHAnsi"/>
                <w:color w:val="000000"/>
                <w:sz w:val="18"/>
                <w:szCs w:val="18"/>
              </w:rPr>
            </w:pPr>
            <w:r w:rsidRPr="00396C98">
              <w:rPr>
                <w:rFonts w:asciiTheme="minorHAnsi" w:hAnsiTheme="minorHAnsi" w:cstheme="minorHAnsi"/>
                <w:color w:val="000000"/>
                <w:sz w:val="18"/>
                <w:szCs w:val="18"/>
              </w:rPr>
              <w:t>2020</w:t>
            </w:r>
          </w:p>
        </w:tc>
        <w:tc>
          <w:tcPr>
            <w:tcW w:w="1181" w:type="dxa"/>
          </w:tcPr>
          <w:p w:rsidR="00F60C27" w:rsidRPr="00563642" w:rsidRDefault="00F60C27" w:rsidP="005C37B2">
            <w:pPr>
              <w:spacing w:after="0"/>
              <w:jc w:val="center"/>
              <w:rPr>
                <w:rFonts w:asciiTheme="minorHAnsi" w:hAnsiTheme="minorHAnsi" w:cstheme="minorHAnsi"/>
                <w:sz w:val="18"/>
                <w:szCs w:val="18"/>
              </w:rPr>
            </w:pPr>
            <w:r w:rsidRPr="00563642">
              <w:rPr>
                <w:rFonts w:asciiTheme="minorHAnsi" w:hAnsiTheme="minorHAnsi" w:cstheme="minorHAnsi"/>
                <w:sz w:val="18"/>
                <w:szCs w:val="18"/>
              </w:rPr>
              <w:t>0.96</w:t>
            </w:r>
          </w:p>
        </w:tc>
        <w:tc>
          <w:tcPr>
            <w:tcW w:w="1226" w:type="dxa"/>
          </w:tcPr>
          <w:p w:rsidR="00F60C27" w:rsidRPr="00563642" w:rsidRDefault="00F60C27" w:rsidP="005C37B2">
            <w:pPr>
              <w:spacing w:after="0"/>
              <w:jc w:val="center"/>
              <w:rPr>
                <w:rFonts w:asciiTheme="minorHAnsi" w:hAnsiTheme="minorHAnsi" w:cstheme="minorHAnsi"/>
                <w:sz w:val="18"/>
                <w:szCs w:val="18"/>
              </w:rPr>
            </w:pPr>
            <w:r w:rsidRPr="00563642">
              <w:rPr>
                <w:rFonts w:asciiTheme="minorHAnsi" w:hAnsiTheme="minorHAnsi" w:cstheme="minorHAnsi"/>
                <w:sz w:val="18"/>
                <w:szCs w:val="18"/>
              </w:rPr>
              <w:t>2.33</w:t>
            </w:r>
          </w:p>
        </w:tc>
        <w:tc>
          <w:tcPr>
            <w:tcW w:w="596" w:type="dxa"/>
          </w:tcPr>
          <w:p w:rsidR="00F60C27" w:rsidRPr="00563642" w:rsidRDefault="00F60C27" w:rsidP="00F60C27">
            <w:pPr>
              <w:spacing w:after="0"/>
              <w:jc w:val="right"/>
              <w:rPr>
                <w:rFonts w:asciiTheme="minorHAnsi" w:hAnsiTheme="minorHAnsi" w:cstheme="minorHAnsi"/>
                <w:color w:val="000000"/>
                <w:sz w:val="18"/>
                <w:szCs w:val="18"/>
              </w:rPr>
            </w:pPr>
            <w:r w:rsidRPr="00563642">
              <w:rPr>
                <w:rFonts w:asciiTheme="minorHAnsi" w:hAnsiTheme="minorHAnsi" w:cstheme="minorHAnsi"/>
                <w:sz w:val="18"/>
                <w:szCs w:val="18"/>
              </w:rPr>
              <w:t>3.29</w:t>
            </w:r>
          </w:p>
        </w:tc>
      </w:tr>
      <w:tr w:rsidR="00F60C27" w:rsidRPr="00D876EE" w:rsidTr="00396C98">
        <w:trPr>
          <w:cnfStyle w:val="000000100000" w:firstRow="0" w:lastRow="0" w:firstColumn="0" w:lastColumn="0" w:oddVBand="0" w:evenVBand="0" w:oddHBand="1" w:evenHBand="0" w:firstRowFirstColumn="0" w:firstRowLastColumn="0" w:lastRowFirstColumn="0" w:lastRowLastColumn="0"/>
          <w:trHeight w:val="227"/>
        </w:trPr>
        <w:tc>
          <w:tcPr>
            <w:tcW w:w="1088" w:type="dxa"/>
            <w:tcBorders>
              <w:left w:val="single" w:sz="4" w:space="0" w:color="5B9BD5" w:themeColor="accent1"/>
            </w:tcBorders>
            <w:noWrap/>
            <w:vAlign w:val="center"/>
            <w:hideMark/>
          </w:tcPr>
          <w:p w:rsidR="00F60C27" w:rsidRPr="00396C98" w:rsidRDefault="00F60C27" w:rsidP="00F60C27">
            <w:pPr>
              <w:spacing w:after="0"/>
              <w:jc w:val="both"/>
              <w:rPr>
                <w:rFonts w:asciiTheme="minorHAnsi" w:hAnsiTheme="minorHAnsi" w:cstheme="minorHAnsi"/>
                <w:sz w:val="18"/>
                <w:szCs w:val="18"/>
              </w:rPr>
            </w:pPr>
            <w:r w:rsidRPr="00396C98">
              <w:rPr>
                <w:rFonts w:asciiTheme="minorHAnsi" w:hAnsiTheme="minorHAnsi" w:cstheme="minorHAnsi"/>
                <w:b/>
                <w:bCs/>
                <w:sz w:val="18"/>
                <w:szCs w:val="18"/>
              </w:rPr>
              <w:t> </w:t>
            </w:r>
          </w:p>
        </w:tc>
        <w:tc>
          <w:tcPr>
            <w:tcW w:w="714" w:type="dxa"/>
            <w:noWrap/>
            <w:vAlign w:val="center"/>
            <w:hideMark/>
          </w:tcPr>
          <w:p w:rsidR="00F60C27" w:rsidRPr="00396C98" w:rsidRDefault="00F60C27" w:rsidP="00F60C27">
            <w:pPr>
              <w:spacing w:after="0"/>
              <w:jc w:val="center"/>
              <w:rPr>
                <w:rFonts w:asciiTheme="minorHAnsi" w:hAnsiTheme="minorHAnsi" w:cstheme="minorHAnsi"/>
                <w:sz w:val="18"/>
                <w:szCs w:val="18"/>
              </w:rPr>
            </w:pPr>
            <w:r w:rsidRPr="00396C98">
              <w:rPr>
                <w:rFonts w:asciiTheme="minorHAnsi" w:hAnsiTheme="minorHAnsi" w:cstheme="minorHAnsi"/>
                <w:color w:val="000000"/>
                <w:sz w:val="18"/>
                <w:szCs w:val="18"/>
              </w:rPr>
              <w:t>2025</w:t>
            </w:r>
          </w:p>
        </w:tc>
        <w:tc>
          <w:tcPr>
            <w:tcW w:w="1141" w:type="dxa"/>
            <w:noWrap/>
            <w:hideMark/>
          </w:tcPr>
          <w:p w:rsidR="00F60C27" w:rsidRPr="00396C98" w:rsidRDefault="00F60C27" w:rsidP="005C37B2">
            <w:pPr>
              <w:spacing w:after="0"/>
              <w:jc w:val="center"/>
              <w:rPr>
                <w:rFonts w:asciiTheme="minorHAnsi" w:hAnsiTheme="minorHAnsi" w:cstheme="minorHAnsi"/>
                <w:sz w:val="18"/>
                <w:szCs w:val="18"/>
              </w:rPr>
            </w:pPr>
            <w:r w:rsidRPr="00396C98">
              <w:rPr>
                <w:rFonts w:asciiTheme="minorHAnsi" w:hAnsiTheme="minorHAnsi" w:cstheme="minorHAnsi"/>
                <w:sz w:val="18"/>
                <w:szCs w:val="18"/>
              </w:rPr>
              <w:t>1.35</w:t>
            </w:r>
          </w:p>
        </w:tc>
        <w:tc>
          <w:tcPr>
            <w:tcW w:w="1134" w:type="dxa"/>
            <w:noWrap/>
            <w:hideMark/>
          </w:tcPr>
          <w:p w:rsidR="00F60C27" w:rsidRPr="00396C98" w:rsidRDefault="00F60C27" w:rsidP="005C37B2">
            <w:pPr>
              <w:spacing w:after="0"/>
              <w:jc w:val="center"/>
              <w:rPr>
                <w:rFonts w:asciiTheme="minorHAnsi" w:hAnsiTheme="minorHAnsi" w:cstheme="minorHAnsi"/>
                <w:sz w:val="18"/>
                <w:szCs w:val="18"/>
              </w:rPr>
            </w:pPr>
            <w:r w:rsidRPr="00396C98">
              <w:rPr>
                <w:rFonts w:asciiTheme="minorHAnsi" w:hAnsiTheme="minorHAnsi" w:cstheme="minorHAnsi"/>
                <w:sz w:val="18"/>
                <w:szCs w:val="18"/>
              </w:rPr>
              <w:t>3.39</w:t>
            </w:r>
          </w:p>
        </w:tc>
        <w:tc>
          <w:tcPr>
            <w:tcW w:w="596" w:type="dxa"/>
            <w:tcBorders>
              <w:right w:val="single" w:sz="2" w:space="0" w:color="5B9BD5" w:themeColor="accent1"/>
            </w:tcBorders>
            <w:vAlign w:val="center"/>
          </w:tcPr>
          <w:p w:rsidR="00F60C27" w:rsidRPr="00396C98" w:rsidRDefault="00F60C27" w:rsidP="00F60C27">
            <w:pPr>
              <w:spacing w:after="0"/>
              <w:jc w:val="right"/>
              <w:rPr>
                <w:rFonts w:asciiTheme="minorHAnsi" w:hAnsiTheme="minorHAnsi" w:cstheme="minorHAnsi"/>
                <w:color w:val="000000"/>
                <w:sz w:val="18"/>
                <w:szCs w:val="18"/>
              </w:rPr>
            </w:pPr>
            <w:r w:rsidRPr="00396C98">
              <w:rPr>
                <w:rFonts w:asciiTheme="minorHAnsi" w:hAnsiTheme="minorHAnsi" w:cstheme="minorHAnsi"/>
                <w:color w:val="000000"/>
                <w:sz w:val="18"/>
                <w:szCs w:val="18"/>
              </w:rPr>
              <w:t>4.74</w:t>
            </w:r>
          </w:p>
        </w:tc>
        <w:tc>
          <w:tcPr>
            <w:tcW w:w="1247" w:type="dxa"/>
            <w:tcBorders>
              <w:left w:val="single" w:sz="2" w:space="0" w:color="5B9BD5" w:themeColor="accent1"/>
            </w:tcBorders>
            <w:vAlign w:val="bottom"/>
          </w:tcPr>
          <w:p w:rsidR="00F60C27" w:rsidRPr="00396C98" w:rsidRDefault="00F60C27" w:rsidP="00F60C27">
            <w:pPr>
              <w:spacing w:after="0"/>
              <w:rPr>
                <w:rFonts w:asciiTheme="minorHAnsi" w:hAnsiTheme="minorHAnsi" w:cstheme="minorHAnsi"/>
                <w:b/>
                <w:color w:val="000000"/>
                <w:sz w:val="18"/>
                <w:szCs w:val="18"/>
              </w:rPr>
            </w:pPr>
            <w:r w:rsidRPr="00396C98">
              <w:rPr>
                <w:rFonts w:asciiTheme="minorHAnsi" w:hAnsiTheme="minorHAnsi" w:cstheme="minorHAnsi"/>
                <w:color w:val="000000"/>
                <w:sz w:val="18"/>
                <w:szCs w:val="18"/>
              </w:rPr>
              <w:t> </w:t>
            </w:r>
          </w:p>
        </w:tc>
        <w:tc>
          <w:tcPr>
            <w:tcW w:w="655" w:type="dxa"/>
            <w:vAlign w:val="center"/>
          </w:tcPr>
          <w:p w:rsidR="00F60C27" w:rsidRPr="00396C98" w:rsidRDefault="00F60C27" w:rsidP="00F60C27">
            <w:pPr>
              <w:spacing w:after="0"/>
              <w:jc w:val="center"/>
              <w:rPr>
                <w:rFonts w:asciiTheme="minorHAnsi" w:hAnsiTheme="minorHAnsi" w:cstheme="minorHAnsi"/>
                <w:color w:val="000000"/>
                <w:sz w:val="18"/>
                <w:szCs w:val="18"/>
              </w:rPr>
            </w:pPr>
            <w:r w:rsidRPr="00396C98">
              <w:rPr>
                <w:rFonts w:asciiTheme="minorHAnsi" w:hAnsiTheme="minorHAnsi" w:cstheme="minorHAnsi"/>
                <w:color w:val="000000"/>
                <w:sz w:val="18"/>
                <w:szCs w:val="18"/>
              </w:rPr>
              <w:t>2025</w:t>
            </w:r>
          </w:p>
        </w:tc>
        <w:tc>
          <w:tcPr>
            <w:tcW w:w="1181" w:type="dxa"/>
          </w:tcPr>
          <w:p w:rsidR="00F60C27" w:rsidRPr="00563642" w:rsidRDefault="00F60C27" w:rsidP="005C37B2">
            <w:pPr>
              <w:spacing w:after="0"/>
              <w:jc w:val="center"/>
              <w:rPr>
                <w:rFonts w:asciiTheme="minorHAnsi" w:hAnsiTheme="minorHAnsi" w:cstheme="minorHAnsi"/>
                <w:sz w:val="18"/>
                <w:szCs w:val="18"/>
              </w:rPr>
            </w:pPr>
            <w:r w:rsidRPr="00563642">
              <w:rPr>
                <w:rFonts w:asciiTheme="minorHAnsi" w:hAnsiTheme="minorHAnsi" w:cstheme="minorHAnsi"/>
                <w:sz w:val="18"/>
                <w:szCs w:val="18"/>
              </w:rPr>
              <w:t>0.97</w:t>
            </w:r>
          </w:p>
        </w:tc>
        <w:tc>
          <w:tcPr>
            <w:tcW w:w="1226" w:type="dxa"/>
          </w:tcPr>
          <w:p w:rsidR="00F60C27" w:rsidRPr="00563642" w:rsidRDefault="00F60C27" w:rsidP="005C37B2">
            <w:pPr>
              <w:spacing w:after="0"/>
              <w:jc w:val="center"/>
              <w:rPr>
                <w:rFonts w:asciiTheme="minorHAnsi" w:hAnsiTheme="minorHAnsi" w:cstheme="minorHAnsi"/>
                <w:sz w:val="18"/>
                <w:szCs w:val="18"/>
              </w:rPr>
            </w:pPr>
            <w:r w:rsidRPr="00563642">
              <w:rPr>
                <w:rFonts w:asciiTheme="minorHAnsi" w:hAnsiTheme="minorHAnsi" w:cstheme="minorHAnsi"/>
                <w:sz w:val="18"/>
                <w:szCs w:val="18"/>
              </w:rPr>
              <w:t>2.37</w:t>
            </w:r>
          </w:p>
        </w:tc>
        <w:tc>
          <w:tcPr>
            <w:tcW w:w="596" w:type="dxa"/>
          </w:tcPr>
          <w:p w:rsidR="00F60C27" w:rsidRPr="00563642" w:rsidRDefault="00F60C27" w:rsidP="00F60C27">
            <w:pPr>
              <w:spacing w:after="0"/>
              <w:jc w:val="right"/>
              <w:rPr>
                <w:rFonts w:asciiTheme="minorHAnsi" w:hAnsiTheme="minorHAnsi" w:cstheme="minorHAnsi"/>
                <w:color w:val="000000"/>
                <w:sz w:val="18"/>
                <w:szCs w:val="18"/>
              </w:rPr>
            </w:pPr>
            <w:r w:rsidRPr="00563642">
              <w:rPr>
                <w:rFonts w:asciiTheme="minorHAnsi" w:hAnsiTheme="minorHAnsi" w:cstheme="minorHAnsi"/>
                <w:sz w:val="18"/>
                <w:szCs w:val="18"/>
              </w:rPr>
              <w:t>3.34</w:t>
            </w:r>
          </w:p>
        </w:tc>
      </w:tr>
      <w:tr w:rsidR="00396C98" w:rsidRPr="00D876EE" w:rsidTr="00396C98">
        <w:trPr>
          <w:trHeight w:val="227"/>
        </w:trPr>
        <w:tc>
          <w:tcPr>
            <w:tcW w:w="1088" w:type="dxa"/>
            <w:tcBorders>
              <w:top w:val="single" w:sz="4" w:space="0" w:color="5B9BD5" w:themeColor="accent1"/>
              <w:left w:val="single" w:sz="4" w:space="0" w:color="5B9BD5" w:themeColor="accent1"/>
              <w:bottom w:val="single" w:sz="4" w:space="0" w:color="5B9BD5" w:themeColor="accent1"/>
            </w:tcBorders>
            <w:noWrap/>
            <w:vAlign w:val="center"/>
            <w:hideMark/>
          </w:tcPr>
          <w:p w:rsidR="00F60C27" w:rsidRPr="00396C98" w:rsidRDefault="00F60C27" w:rsidP="00F60C27">
            <w:pPr>
              <w:spacing w:after="0"/>
              <w:jc w:val="both"/>
              <w:rPr>
                <w:rFonts w:asciiTheme="minorHAnsi" w:hAnsiTheme="minorHAnsi" w:cstheme="minorHAnsi"/>
                <w:sz w:val="18"/>
                <w:szCs w:val="18"/>
              </w:rPr>
            </w:pPr>
            <w:r w:rsidRPr="00396C98">
              <w:rPr>
                <w:rFonts w:asciiTheme="minorHAnsi" w:hAnsiTheme="minorHAnsi" w:cstheme="minorHAnsi"/>
                <w:b/>
                <w:bCs/>
                <w:sz w:val="18"/>
                <w:szCs w:val="18"/>
              </w:rPr>
              <w:t> </w:t>
            </w:r>
          </w:p>
        </w:tc>
        <w:tc>
          <w:tcPr>
            <w:tcW w:w="714" w:type="dxa"/>
            <w:noWrap/>
            <w:vAlign w:val="center"/>
            <w:hideMark/>
          </w:tcPr>
          <w:p w:rsidR="00F60C27" w:rsidRPr="00396C98" w:rsidRDefault="00F60C27" w:rsidP="00F60C27">
            <w:pPr>
              <w:spacing w:after="0"/>
              <w:jc w:val="center"/>
              <w:rPr>
                <w:rFonts w:asciiTheme="minorHAnsi" w:hAnsiTheme="minorHAnsi" w:cstheme="minorHAnsi"/>
                <w:sz w:val="18"/>
                <w:szCs w:val="18"/>
              </w:rPr>
            </w:pPr>
            <w:r w:rsidRPr="00396C98">
              <w:rPr>
                <w:rFonts w:asciiTheme="minorHAnsi" w:hAnsiTheme="minorHAnsi" w:cstheme="minorHAnsi"/>
                <w:color w:val="000000"/>
                <w:sz w:val="18"/>
                <w:szCs w:val="18"/>
              </w:rPr>
              <w:t>2030</w:t>
            </w:r>
          </w:p>
        </w:tc>
        <w:tc>
          <w:tcPr>
            <w:tcW w:w="1141" w:type="dxa"/>
            <w:noWrap/>
            <w:hideMark/>
          </w:tcPr>
          <w:p w:rsidR="00F60C27" w:rsidRPr="00396C98" w:rsidRDefault="00F60C27" w:rsidP="005C37B2">
            <w:pPr>
              <w:spacing w:after="0"/>
              <w:jc w:val="center"/>
              <w:rPr>
                <w:rFonts w:asciiTheme="minorHAnsi" w:hAnsiTheme="minorHAnsi" w:cstheme="minorHAnsi"/>
                <w:sz w:val="18"/>
                <w:szCs w:val="18"/>
              </w:rPr>
            </w:pPr>
            <w:r w:rsidRPr="00396C98">
              <w:rPr>
                <w:rFonts w:asciiTheme="minorHAnsi" w:hAnsiTheme="minorHAnsi" w:cstheme="minorHAnsi"/>
                <w:sz w:val="18"/>
                <w:szCs w:val="18"/>
              </w:rPr>
              <w:t>1.37</w:t>
            </w:r>
          </w:p>
        </w:tc>
        <w:tc>
          <w:tcPr>
            <w:tcW w:w="1134" w:type="dxa"/>
            <w:noWrap/>
            <w:hideMark/>
          </w:tcPr>
          <w:p w:rsidR="00F60C27" w:rsidRPr="00396C98" w:rsidRDefault="00F60C27" w:rsidP="005C37B2">
            <w:pPr>
              <w:spacing w:after="0"/>
              <w:jc w:val="center"/>
              <w:rPr>
                <w:rFonts w:asciiTheme="minorHAnsi" w:hAnsiTheme="minorHAnsi" w:cstheme="minorHAnsi"/>
                <w:sz w:val="18"/>
                <w:szCs w:val="18"/>
              </w:rPr>
            </w:pPr>
            <w:r w:rsidRPr="00396C98">
              <w:rPr>
                <w:rFonts w:asciiTheme="minorHAnsi" w:hAnsiTheme="minorHAnsi" w:cstheme="minorHAnsi"/>
                <w:sz w:val="18"/>
                <w:szCs w:val="18"/>
              </w:rPr>
              <w:t>3.44</w:t>
            </w:r>
          </w:p>
        </w:tc>
        <w:tc>
          <w:tcPr>
            <w:tcW w:w="596" w:type="dxa"/>
            <w:tcBorders>
              <w:right w:val="single" w:sz="2" w:space="0" w:color="5B9BD5" w:themeColor="accent1"/>
            </w:tcBorders>
            <w:vAlign w:val="center"/>
          </w:tcPr>
          <w:p w:rsidR="00F60C27" w:rsidRPr="00396C98" w:rsidRDefault="00F60C27" w:rsidP="00F60C27">
            <w:pPr>
              <w:spacing w:after="0"/>
              <w:jc w:val="right"/>
              <w:rPr>
                <w:rFonts w:asciiTheme="minorHAnsi" w:hAnsiTheme="minorHAnsi" w:cstheme="minorHAnsi"/>
                <w:color w:val="000000"/>
                <w:sz w:val="18"/>
                <w:szCs w:val="18"/>
              </w:rPr>
            </w:pPr>
            <w:r w:rsidRPr="00396C98">
              <w:rPr>
                <w:rFonts w:asciiTheme="minorHAnsi" w:hAnsiTheme="minorHAnsi" w:cstheme="minorHAnsi"/>
                <w:color w:val="000000"/>
                <w:sz w:val="18"/>
                <w:szCs w:val="18"/>
              </w:rPr>
              <w:t>4.81</w:t>
            </w:r>
          </w:p>
        </w:tc>
        <w:tc>
          <w:tcPr>
            <w:tcW w:w="1247" w:type="dxa"/>
            <w:tcBorders>
              <w:top w:val="single" w:sz="4" w:space="0" w:color="5B9BD5" w:themeColor="accent1"/>
              <w:left w:val="single" w:sz="2" w:space="0" w:color="5B9BD5" w:themeColor="accent1"/>
              <w:bottom w:val="single" w:sz="4" w:space="0" w:color="5B9BD5" w:themeColor="accent1"/>
            </w:tcBorders>
            <w:vAlign w:val="bottom"/>
          </w:tcPr>
          <w:p w:rsidR="00F60C27" w:rsidRPr="00396C98" w:rsidRDefault="00F60C27" w:rsidP="00F60C27">
            <w:pPr>
              <w:spacing w:after="0"/>
              <w:rPr>
                <w:rFonts w:asciiTheme="minorHAnsi" w:hAnsiTheme="minorHAnsi" w:cstheme="minorHAnsi"/>
                <w:b/>
                <w:color w:val="000000"/>
                <w:sz w:val="18"/>
                <w:szCs w:val="18"/>
              </w:rPr>
            </w:pPr>
            <w:r w:rsidRPr="00396C98">
              <w:rPr>
                <w:rFonts w:asciiTheme="minorHAnsi" w:hAnsiTheme="minorHAnsi" w:cstheme="minorHAnsi"/>
                <w:color w:val="000000"/>
                <w:sz w:val="18"/>
                <w:szCs w:val="18"/>
              </w:rPr>
              <w:t> </w:t>
            </w:r>
          </w:p>
        </w:tc>
        <w:tc>
          <w:tcPr>
            <w:tcW w:w="655" w:type="dxa"/>
            <w:vAlign w:val="center"/>
          </w:tcPr>
          <w:p w:rsidR="00F60C27" w:rsidRPr="00396C98" w:rsidRDefault="00F60C27" w:rsidP="00F60C27">
            <w:pPr>
              <w:spacing w:after="0"/>
              <w:jc w:val="center"/>
              <w:rPr>
                <w:rFonts w:asciiTheme="minorHAnsi" w:hAnsiTheme="minorHAnsi" w:cstheme="minorHAnsi"/>
                <w:color w:val="000000"/>
                <w:sz w:val="18"/>
                <w:szCs w:val="18"/>
              </w:rPr>
            </w:pPr>
            <w:r w:rsidRPr="00396C98">
              <w:rPr>
                <w:rFonts w:asciiTheme="minorHAnsi" w:hAnsiTheme="minorHAnsi" w:cstheme="minorHAnsi"/>
                <w:color w:val="000000"/>
                <w:sz w:val="18"/>
                <w:szCs w:val="18"/>
              </w:rPr>
              <w:t>2030</w:t>
            </w:r>
          </w:p>
        </w:tc>
        <w:tc>
          <w:tcPr>
            <w:tcW w:w="1181" w:type="dxa"/>
          </w:tcPr>
          <w:p w:rsidR="00F60C27" w:rsidRPr="00563642" w:rsidRDefault="00F60C27" w:rsidP="005C37B2">
            <w:pPr>
              <w:spacing w:after="0"/>
              <w:jc w:val="center"/>
              <w:rPr>
                <w:rFonts w:asciiTheme="minorHAnsi" w:hAnsiTheme="minorHAnsi" w:cstheme="minorHAnsi"/>
                <w:sz w:val="18"/>
                <w:szCs w:val="18"/>
              </w:rPr>
            </w:pPr>
            <w:r w:rsidRPr="00563642">
              <w:rPr>
                <w:rFonts w:asciiTheme="minorHAnsi" w:hAnsiTheme="minorHAnsi" w:cstheme="minorHAnsi"/>
                <w:sz w:val="18"/>
                <w:szCs w:val="18"/>
              </w:rPr>
              <w:t>0.97</w:t>
            </w:r>
          </w:p>
        </w:tc>
        <w:tc>
          <w:tcPr>
            <w:tcW w:w="1226" w:type="dxa"/>
          </w:tcPr>
          <w:p w:rsidR="00F60C27" w:rsidRPr="00563642" w:rsidRDefault="00F60C27" w:rsidP="005C37B2">
            <w:pPr>
              <w:spacing w:after="0"/>
              <w:jc w:val="center"/>
              <w:rPr>
                <w:rFonts w:asciiTheme="minorHAnsi" w:hAnsiTheme="minorHAnsi" w:cstheme="minorHAnsi"/>
                <w:sz w:val="18"/>
                <w:szCs w:val="18"/>
              </w:rPr>
            </w:pPr>
            <w:r w:rsidRPr="00563642">
              <w:rPr>
                <w:rFonts w:asciiTheme="minorHAnsi" w:hAnsiTheme="minorHAnsi" w:cstheme="minorHAnsi"/>
                <w:sz w:val="18"/>
                <w:szCs w:val="18"/>
              </w:rPr>
              <w:t>2.42</w:t>
            </w:r>
          </w:p>
        </w:tc>
        <w:tc>
          <w:tcPr>
            <w:tcW w:w="596" w:type="dxa"/>
          </w:tcPr>
          <w:p w:rsidR="00F60C27" w:rsidRPr="00563642" w:rsidRDefault="00F60C27" w:rsidP="00F60C27">
            <w:pPr>
              <w:spacing w:after="0"/>
              <w:jc w:val="right"/>
              <w:rPr>
                <w:rFonts w:asciiTheme="minorHAnsi" w:hAnsiTheme="minorHAnsi" w:cstheme="minorHAnsi"/>
                <w:color w:val="000000"/>
                <w:sz w:val="18"/>
                <w:szCs w:val="18"/>
              </w:rPr>
            </w:pPr>
            <w:r w:rsidRPr="00563642">
              <w:rPr>
                <w:rFonts w:asciiTheme="minorHAnsi" w:hAnsiTheme="minorHAnsi" w:cstheme="minorHAnsi"/>
                <w:sz w:val="18"/>
                <w:szCs w:val="18"/>
              </w:rPr>
              <w:t>3.39</w:t>
            </w:r>
          </w:p>
        </w:tc>
      </w:tr>
      <w:tr w:rsidR="00396C98" w:rsidRPr="00D876EE" w:rsidTr="00396C98">
        <w:trPr>
          <w:cnfStyle w:val="000000100000" w:firstRow="0" w:lastRow="0" w:firstColumn="0" w:lastColumn="0" w:oddVBand="0" w:evenVBand="0" w:oddHBand="1" w:evenHBand="0" w:firstRowFirstColumn="0" w:firstRowLastColumn="0" w:lastRowFirstColumn="0" w:lastRowLastColumn="0"/>
          <w:trHeight w:val="227"/>
        </w:trPr>
        <w:tc>
          <w:tcPr>
            <w:tcW w:w="1088" w:type="dxa"/>
            <w:tcBorders>
              <w:left w:val="single" w:sz="4" w:space="0" w:color="5B9BD5" w:themeColor="accent1"/>
            </w:tcBorders>
            <w:shd w:val="clear" w:color="auto" w:fill="FFFFFF" w:themeFill="background1"/>
            <w:noWrap/>
            <w:vAlign w:val="center"/>
            <w:hideMark/>
          </w:tcPr>
          <w:p w:rsidR="00F60C27" w:rsidRPr="00396C98" w:rsidRDefault="00F60C27" w:rsidP="00F60C27">
            <w:pPr>
              <w:spacing w:after="0"/>
              <w:jc w:val="both"/>
              <w:rPr>
                <w:rFonts w:asciiTheme="minorHAnsi" w:hAnsiTheme="minorHAnsi" w:cstheme="minorHAnsi"/>
                <w:b/>
                <w:bCs/>
                <w:sz w:val="18"/>
                <w:szCs w:val="18"/>
              </w:rPr>
            </w:pPr>
            <w:r w:rsidRPr="00396C98">
              <w:rPr>
                <w:rFonts w:asciiTheme="minorHAnsi" w:hAnsiTheme="minorHAnsi" w:cstheme="minorHAnsi"/>
                <w:b/>
                <w:bCs/>
                <w:sz w:val="18"/>
                <w:szCs w:val="18"/>
              </w:rPr>
              <w:t>Indonesia</w:t>
            </w:r>
          </w:p>
        </w:tc>
        <w:tc>
          <w:tcPr>
            <w:tcW w:w="714" w:type="dxa"/>
            <w:shd w:val="clear" w:color="auto" w:fill="FFFFFF" w:themeFill="background1"/>
            <w:noWrap/>
            <w:vAlign w:val="center"/>
            <w:hideMark/>
          </w:tcPr>
          <w:p w:rsidR="00F60C27" w:rsidRPr="00396C98" w:rsidRDefault="00F60C27" w:rsidP="00F60C27">
            <w:pPr>
              <w:spacing w:after="0"/>
              <w:jc w:val="center"/>
              <w:rPr>
                <w:rFonts w:asciiTheme="minorHAnsi" w:hAnsiTheme="minorHAnsi" w:cstheme="minorHAnsi"/>
                <w:bCs/>
                <w:sz w:val="18"/>
                <w:szCs w:val="18"/>
              </w:rPr>
            </w:pPr>
            <w:r w:rsidRPr="00396C98">
              <w:rPr>
                <w:rFonts w:asciiTheme="minorHAnsi" w:hAnsiTheme="minorHAnsi" w:cstheme="minorHAnsi"/>
                <w:bCs/>
                <w:sz w:val="18"/>
                <w:szCs w:val="18"/>
              </w:rPr>
              <w:t>2015</w:t>
            </w:r>
          </w:p>
        </w:tc>
        <w:tc>
          <w:tcPr>
            <w:tcW w:w="1141" w:type="dxa"/>
            <w:shd w:val="clear" w:color="auto" w:fill="FFFFFF" w:themeFill="background1"/>
            <w:noWrap/>
            <w:vAlign w:val="center"/>
            <w:hideMark/>
          </w:tcPr>
          <w:p w:rsidR="00F60C27" w:rsidRPr="00396C98" w:rsidRDefault="00F60C27" w:rsidP="00F60C27">
            <w:pPr>
              <w:spacing w:after="0"/>
              <w:jc w:val="center"/>
              <w:rPr>
                <w:rFonts w:asciiTheme="minorHAnsi" w:hAnsiTheme="minorHAnsi" w:cstheme="minorHAnsi"/>
                <w:bCs/>
                <w:sz w:val="18"/>
                <w:szCs w:val="18"/>
              </w:rPr>
            </w:pPr>
            <w:r w:rsidRPr="00396C98">
              <w:rPr>
                <w:rFonts w:asciiTheme="minorHAnsi" w:hAnsiTheme="minorHAnsi" w:cstheme="minorHAnsi"/>
                <w:bCs/>
                <w:sz w:val="18"/>
                <w:szCs w:val="18"/>
              </w:rPr>
              <w:t>1.37</w:t>
            </w:r>
          </w:p>
        </w:tc>
        <w:tc>
          <w:tcPr>
            <w:tcW w:w="1134" w:type="dxa"/>
            <w:shd w:val="clear" w:color="auto" w:fill="FFFFFF" w:themeFill="background1"/>
            <w:noWrap/>
            <w:vAlign w:val="center"/>
            <w:hideMark/>
          </w:tcPr>
          <w:p w:rsidR="00F60C27" w:rsidRPr="00396C98" w:rsidRDefault="00F60C27" w:rsidP="00F60C27">
            <w:pPr>
              <w:spacing w:after="0"/>
              <w:jc w:val="center"/>
              <w:rPr>
                <w:rFonts w:asciiTheme="minorHAnsi" w:hAnsiTheme="minorHAnsi" w:cstheme="minorHAnsi"/>
                <w:bCs/>
                <w:sz w:val="18"/>
                <w:szCs w:val="18"/>
              </w:rPr>
            </w:pPr>
            <w:r w:rsidRPr="00396C98">
              <w:rPr>
                <w:rFonts w:asciiTheme="minorHAnsi" w:hAnsiTheme="minorHAnsi" w:cstheme="minorHAnsi"/>
                <w:bCs/>
                <w:sz w:val="18"/>
                <w:szCs w:val="18"/>
              </w:rPr>
              <w:t>3.18</w:t>
            </w:r>
          </w:p>
        </w:tc>
        <w:tc>
          <w:tcPr>
            <w:tcW w:w="596" w:type="dxa"/>
            <w:tcBorders>
              <w:right w:val="single" w:sz="2" w:space="0" w:color="5B9BD5" w:themeColor="accent1"/>
            </w:tcBorders>
            <w:shd w:val="clear" w:color="auto" w:fill="FFFFFF" w:themeFill="background1"/>
            <w:vAlign w:val="center"/>
          </w:tcPr>
          <w:p w:rsidR="00F60C27" w:rsidRPr="00396C98" w:rsidRDefault="00F60C27" w:rsidP="00F60C27">
            <w:pPr>
              <w:spacing w:after="0"/>
              <w:jc w:val="center"/>
              <w:rPr>
                <w:rFonts w:asciiTheme="minorHAnsi" w:hAnsiTheme="minorHAnsi" w:cstheme="minorHAnsi"/>
                <w:bCs/>
                <w:sz w:val="18"/>
                <w:szCs w:val="18"/>
              </w:rPr>
            </w:pPr>
            <w:r w:rsidRPr="00396C98">
              <w:rPr>
                <w:rFonts w:asciiTheme="minorHAnsi" w:hAnsiTheme="minorHAnsi" w:cstheme="minorHAnsi"/>
                <w:bCs/>
                <w:sz w:val="18"/>
                <w:szCs w:val="18"/>
              </w:rPr>
              <w:t>4.55</w:t>
            </w:r>
          </w:p>
        </w:tc>
        <w:tc>
          <w:tcPr>
            <w:tcW w:w="1247" w:type="dxa"/>
            <w:tcBorders>
              <w:left w:val="single" w:sz="2" w:space="0" w:color="5B9BD5" w:themeColor="accent1"/>
            </w:tcBorders>
            <w:vAlign w:val="center"/>
          </w:tcPr>
          <w:p w:rsidR="00F60C27" w:rsidRPr="00396C98" w:rsidRDefault="00F60C27" w:rsidP="00F60C27">
            <w:pPr>
              <w:spacing w:after="0"/>
              <w:rPr>
                <w:rFonts w:asciiTheme="minorHAnsi" w:hAnsiTheme="minorHAnsi" w:cstheme="minorHAnsi"/>
                <w:b/>
                <w:color w:val="000000"/>
                <w:sz w:val="18"/>
                <w:szCs w:val="18"/>
              </w:rPr>
            </w:pPr>
            <w:r w:rsidRPr="00396C98">
              <w:rPr>
                <w:rFonts w:asciiTheme="minorHAnsi" w:hAnsiTheme="minorHAnsi" w:cstheme="minorHAnsi"/>
                <w:b/>
                <w:sz w:val="18"/>
                <w:szCs w:val="18"/>
              </w:rPr>
              <w:t xml:space="preserve">USA </w:t>
            </w:r>
          </w:p>
        </w:tc>
        <w:tc>
          <w:tcPr>
            <w:tcW w:w="655" w:type="dxa"/>
            <w:vAlign w:val="center"/>
          </w:tcPr>
          <w:p w:rsidR="00F60C27" w:rsidRPr="00396C98" w:rsidRDefault="00F60C27" w:rsidP="00F60C27">
            <w:pPr>
              <w:spacing w:after="0"/>
              <w:jc w:val="center"/>
              <w:rPr>
                <w:rFonts w:asciiTheme="minorHAnsi" w:hAnsiTheme="minorHAnsi" w:cstheme="minorHAnsi"/>
                <w:color w:val="000000"/>
                <w:sz w:val="18"/>
                <w:szCs w:val="18"/>
              </w:rPr>
            </w:pPr>
            <w:r w:rsidRPr="00396C98">
              <w:rPr>
                <w:rFonts w:asciiTheme="minorHAnsi" w:hAnsiTheme="minorHAnsi" w:cstheme="minorHAnsi"/>
                <w:color w:val="000000"/>
                <w:sz w:val="18"/>
                <w:szCs w:val="18"/>
              </w:rPr>
              <w:t>2015</w:t>
            </w:r>
          </w:p>
        </w:tc>
        <w:tc>
          <w:tcPr>
            <w:tcW w:w="1181" w:type="dxa"/>
            <w:vAlign w:val="center"/>
          </w:tcPr>
          <w:p w:rsidR="00F60C27" w:rsidRPr="00396C98" w:rsidRDefault="00F60C27" w:rsidP="00F60C27">
            <w:pPr>
              <w:spacing w:after="0"/>
              <w:jc w:val="center"/>
              <w:rPr>
                <w:rFonts w:asciiTheme="minorHAnsi" w:hAnsiTheme="minorHAnsi" w:cstheme="minorHAnsi"/>
                <w:color w:val="000000"/>
                <w:sz w:val="18"/>
                <w:szCs w:val="18"/>
              </w:rPr>
            </w:pPr>
            <w:r w:rsidRPr="00396C98">
              <w:rPr>
                <w:rFonts w:asciiTheme="minorHAnsi" w:hAnsiTheme="minorHAnsi" w:cstheme="minorHAnsi"/>
                <w:color w:val="000000"/>
                <w:sz w:val="18"/>
                <w:szCs w:val="18"/>
              </w:rPr>
              <w:t>1.46</w:t>
            </w:r>
          </w:p>
        </w:tc>
        <w:tc>
          <w:tcPr>
            <w:tcW w:w="1226" w:type="dxa"/>
            <w:vAlign w:val="center"/>
          </w:tcPr>
          <w:p w:rsidR="00F60C27" w:rsidRPr="00396C98" w:rsidRDefault="00F60C27" w:rsidP="00F60C27">
            <w:pPr>
              <w:spacing w:after="0"/>
              <w:jc w:val="center"/>
              <w:rPr>
                <w:rFonts w:asciiTheme="minorHAnsi" w:hAnsiTheme="minorHAnsi" w:cstheme="minorHAnsi"/>
                <w:color w:val="000000"/>
                <w:sz w:val="18"/>
                <w:szCs w:val="18"/>
              </w:rPr>
            </w:pPr>
            <w:r w:rsidRPr="00396C98">
              <w:rPr>
                <w:rFonts w:asciiTheme="minorHAnsi" w:hAnsiTheme="minorHAnsi" w:cstheme="minorHAnsi"/>
                <w:color w:val="000000"/>
                <w:sz w:val="18"/>
                <w:szCs w:val="18"/>
              </w:rPr>
              <w:t>3.52</w:t>
            </w:r>
          </w:p>
        </w:tc>
        <w:tc>
          <w:tcPr>
            <w:tcW w:w="596" w:type="dxa"/>
            <w:vAlign w:val="center"/>
          </w:tcPr>
          <w:p w:rsidR="00F60C27" w:rsidRPr="00396C98" w:rsidRDefault="00F60C27" w:rsidP="00F60C27">
            <w:pPr>
              <w:spacing w:after="0"/>
              <w:jc w:val="center"/>
              <w:rPr>
                <w:rFonts w:asciiTheme="minorHAnsi" w:hAnsiTheme="minorHAnsi" w:cstheme="minorHAnsi"/>
                <w:color w:val="000000"/>
                <w:sz w:val="18"/>
                <w:szCs w:val="18"/>
              </w:rPr>
            </w:pPr>
            <w:r w:rsidRPr="00396C98">
              <w:rPr>
                <w:rFonts w:asciiTheme="minorHAnsi" w:hAnsiTheme="minorHAnsi" w:cstheme="minorHAnsi"/>
                <w:sz w:val="18"/>
                <w:szCs w:val="18"/>
              </w:rPr>
              <w:t>4.98</w:t>
            </w:r>
          </w:p>
        </w:tc>
      </w:tr>
      <w:tr w:rsidR="00396C98" w:rsidRPr="00D876EE" w:rsidTr="00396C98">
        <w:trPr>
          <w:trHeight w:val="227"/>
        </w:trPr>
        <w:tc>
          <w:tcPr>
            <w:tcW w:w="1088" w:type="dxa"/>
            <w:tcBorders>
              <w:top w:val="single" w:sz="4" w:space="0" w:color="5B9BD5" w:themeColor="accent1"/>
              <w:left w:val="single" w:sz="4" w:space="0" w:color="5B9BD5" w:themeColor="accent1"/>
              <w:bottom w:val="single" w:sz="4" w:space="0" w:color="5B9BD5" w:themeColor="accent1"/>
            </w:tcBorders>
            <w:shd w:val="clear" w:color="auto" w:fill="FFFFFF" w:themeFill="background1"/>
            <w:noWrap/>
            <w:vAlign w:val="center"/>
            <w:hideMark/>
          </w:tcPr>
          <w:p w:rsidR="00F60C27" w:rsidRPr="00396C98" w:rsidRDefault="00F60C27" w:rsidP="00F60C27">
            <w:pPr>
              <w:spacing w:after="0"/>
              <w:jc w:val="both"/>
              <w:rPr>
                <w:rFonts w:asciiTheme="minorHAnsi" w:hAnsiTheme="minorHAnsi" w:cstheme="minorHAnsi"/>
                <w:bCs/>
                <w:sz w:val="18"/>
                <w:szCs w:val="18"/>
              </w:rPr>
            </w:pPr>
            <w:r w:rsidRPr="00396C98">
              <w:rPr>
                <w:rFonts w:asciiTheme="minorHAnsi" w:hAnsiTheme="minorHAnsi" w:cstheme="minorHAnsi"/>
                <w:bCs/>
                <w:sz w:val="18"/>
                <w:szCs w:val="18"/>
              </w:rPr>
              <w:t> </w:t>
            </w:r>
          </w:p>
        </w:tc>
        <w:tc>
          <w:tcPr>
            <w:tcW w:w="714" w:type="dxa"/>
            <w:shd w:val="clear" w:color="auto" w:fill="FFFFFF" w:themeFill="background1"/>
            <w:noWrap/>
            <w:vAlign w:val="center"/>
            <w:hideMark/>
          </w:tcPr>
          <w:p w:rsidR="00F60C27" w:rsidRPr="00396C98" w:rsidRDefault="00F60C27" w:rsidP="00F60C27">
            <w:pPr>
              <w:spacing w:after="0"/>
              <w:jc w:val="center"/>
              <w:rPr>
                <w:rFonts w:asciiTheme="minorHAnsi" w:hAnsiTheme="minorHAnsi" w:cstheme="minorHAnsi"/>
                <w:bCs/>
                <w:sz w:val="18"/>
                <w:szCs w:val="18"/>
              </w:rPr>
            </w:pPr>
            <w:r w:rsidRPr="00396C98">
              <w:rPr>
                <w:rFonts w:asciiTheme="minorHAnsi" w:hAnsiTheme="minorHAnsi" w:cstheme="minorHAnsi"/>
                <w:bCs/>
                <w:sz w:val="18"/>
                <w:szCs w:val="18"/>
              </w:rPr>
              <w:t>2020</w:t>
            </w:r>
          </w:p>
        </w:tc>
        <w:tc>
          <w:tcPr>
            <w:tcW w:w="1141" w:type="dxa"/>
            <w:shd w:val="clear" w:color="auto" w:fill="FFFFFF" w:themeFill="background1"/>
            <w:noWrap/>
            <w:vAlign w:val="center"/>
            <w:hideMark/>
          </w:tcPr>
          <w:p w:rsidR="00F60C27" w:rsidRPr="00396C98" w:rsidRDefault="00F60C27" w:rsidP="00F60C27">
            <w:pPr>
              <w:spacing w:after="0"/>
              <w:jc w:val="center"/>
              <w:rPr>
                <w:rFonts w:asciiTheme="minorHAnsi" w:hAnsiTheme="minorHAnsi" w:cstheme="minorHAnsi"/>
                <w:bCs/>
                <w:sz w:val="18"/>
                <w:szCs w:val="18"/>
              </w:rPr>
            </w:pPr>
            <w:r w:rsidRPr="00396C98">
              <w:rPr>
                <w:rFonts w:asciiTheme="minorHAnsi" w:hAnsiTheme="minorHAnsi" w:cstheme="minorHAnsi"/>
                <w:bCs/>
                <w:sz w:val="18"/>
                <w:szCs w:val="18"/>
              </w:rPr>
              <w:t>1.38</w:t>
            </w:r>
          </w:p>
        </w:tc>
        <w:tc>
          <w:tcPr>
            <w:tcW w:w="1134" w:type="dxa"/>
            <w:shd w:val="clear" w:color="auto" w:fill="FFFFFF" w:themeFill="background1"/>
            <w:noWrap/>
            <w:vAlign w:val="center"/>
            <w:hideMark/>
          </w:tcPr>
          <w:p w:rsidR="00F60C27" w:rsidRPr="00396C98" w:rsidRDefault="00F60C27" w:rsidP="00F60C27">
            <w:pPr>
              <w:spacing w:after="0"/>
              <w:jc w:val="center"/>
              <w:rPr>
                <w:rFonts w:asciiTheme="minorHAnsi" w:hAnsiTheme="minorHAnsi" w:cstheme="minorHAnsi"/>
                <w:bCs/>
                <w:sz w:val="18"/>
                <w:szCs w:val="18"/>
              </w:rPr>
            </w:pPr>
            <w:r w:rsidRPr="00396C98">
              <w:rPr>
                <w:rFonts w:asciiTheme="minorHAnsi" w:hAnsiTheme="minorHAnsi" w:cstheme="minorHAnsi"/>
                <w:bCs/>
                <w:sz w:val="18"/>
                <w:szCs w:val="18"/>
              </w:rPr>
              <w:t>3.25</w:t>
            </w:r>
          </w:p>
        </w:tc>
        <w:tc>
          <w:tcPr>
            <w:tcW w:w="596" w:type="dxa"/>
            <w:tcBorders>
              <w:right w:val="single" w:sz="2" w:space="0" w:color="5B9BD5" w:themeColor="accent1"/>
            </w:tcBorders>
            <w:shd w:val="clear" w:color="auto" w:fill="FFFFFF" w:themeFill="background1"/>
            <w:vAlign w:val="center"/>
          </w:tcPr>
          <w:p w:rsidR="00F60C27" w:rsidRPr="00396C98" w:rsidRDefault="00F60C27" w:rsidP="00F60C27">
            <w:pPr>
              <w:spacing w:after="0"/>
              <w:jc w:val="center"/>
              <w:rPr>
                <w:rFonts w:asciiTheme="minorHAnsi" w:hAnsiTheme="minorHAnsi" w:cstheme="minorHAnsi"/>
                <w:bCs/>
                <w:sz w:val="18"/>
                <w:szCs w:val="18"/>
              </w:rPr>
            </w:pPr>
            <w:r w:rsidRPr="00396C98">
              <w:rPr>
                <w:rFonts w:asciiTheme="minorHAnsi" w:hAnsiTheme="minorHAnsi" w:cstheme="minorHAnsi"/>
                <w:bCs/>
                <w:sz w:val="18"/>
                <w:szCs w:val="18"/>
              </w:rPr>
              <w:t>4.63</w:t>
            </w:r>
          </w:p>
        </w:tc>
        <w:tc>
          <w:tcPr>
            <w:tcW w:w="1247" w:type="dxa"/>
            <w:tcBorders>
              <w:top w:val="single" w:sz="4" w:space="0" w:color="5B9BD5" w:themeColor="accent1"/>
              <w:left w:val="single" w:sz="2" w:space="0" w:color="5B9BD5" w:themeColor="accent1"/>
              <w:bottom w:val="single" w:sz="4" w:space="0" w:color="5B9BD5" w:themeColor="accent1"/>
            </w:tcBorders>
            <w:vAlign w:val="bottom"/>
          </w:tcPr>
          <w:p w:rsidR="00F60C27" w:rsidRPr="00396C98" w:rsidRDefault="00F60C27" w:rsidP="00F60C27">
            <w:pPr>
              <w:spacing w:after="0"/>
              <w:rPr>
                <w:rFonts w:asciiTheme="minorHAnsi" w:hAnsiTheme="minorHAnsi" w:cstheme="minorHAnsi"/>
                <w:b/>
                <w:color w:val="000000"/>
                <w:sz w:val="18"/>
                <w:szCs w:val="18"/>
              </w:rPr>
            </w:pPr>
            <w:r w:rsidRPr="00396C98">
              <w:rPr>
                <w:rFonts w:asciiTheme="minorHAnsi" w:hAnsiTheme="minorHAnsi" w:cstheme="minorHAnsi"/>
                <w:color w:val="000000"/>
                <w:sz w:val="18"/>
                <w:szCs w:val="18"/>
              </w:rPr>
              <w:t> </w:t>
            </w:r>
          </w:p>
        </w:tc>
        <w:tc>
          <w:tcPr>
            <w:tcW w:w="655" w:type="dxa"/>
            <w:vAlign w:val="center"/>
          </w:tcPr>
          <w:p w:rsidR="00F60C27" w:rsidRPr="00396C98" w:rsidRDefault="00F60C27" w:rsidP="00F60C27">
            <w:pPr>
              <w:spacing w:after="0"/>
              <w:jc w:val="center"/>
              <w:rPr>
                <w:rFonts w:asciiTheme="minorHAnsi" w:hAnsiTheme="minorHAnsi" w:cstheme="minorHAnsi"/>
                <w:color w:val="000000"/>
                <w:sz w:val="18"/>
                <w:szCs w:val="18"/>
              </w:rPr>
            </w:pPr>
            <w:r w:rsidRPr="00396C98">
              <w:rPr>
                <w:rFonts w:asciiTheme="minorHAnsi" w:hAnsiTheme="minorHAnsi" w:cstheme="minorHAnsi"/>
                <w:color w:val="000000"/>
                <w:sz w:val="18"/>
                <w:szCs w:val="18"/>
              </w:rPr>
              <w:t>2020</w:t>
            </w:r>
          </w:p>
        </w:tc>
        <w:tc>
          <w:tcPr>
            <w:tcW w:w="1181" w:type="dxa"/>
            <w:vAlign w:val="center"/>
          </w:tcPr>
          <w:p w:rsidR="00F60C27" w:rsidRPr="00396C98" w:rsidRDefault="00F60C27" w:rsidP="00F60C27">
            <w:pPr>
              <w:spacing w:after="0"/>
              <w:jc w:val="center"/>
              <w:rPr>
                <w:rFonts w:asciiTheme="minorHAnsi" w:hAnsiTheme="minorHAnsi" w:cstheme="minorHAnsi"/>
                <w:color w:val="000000"/>
                <w:sz w:val="18"/>
                <w:szCs w:val="18"/>
              </w:rPr>
            </w:pPr>
            <w:r w:rsidRPr="00396C98">
              <w:rPr>
                <w:rFonts w:asciiTheme="minorHAnsi" w:hAnsiTheme="minorHAnsi" w:cstheme="minorHAnsi"/>
                <w:color w:val="000000"/>
                <w:sz w:val="18"/>
                <w:szCs w:val="18"/>
              </w:rPr>
              <w:t>1.46</w:t>
            </w:r>
          </w:p>
        </w:tc>
        <w:tc>
          <w:tcPr>
            <w:tcW w:w="1226" w:type="dxa"/>
            <w:vAlign w:val="center"/>
          </w:tcPr>
          <w:p w:rsidR="00F60C27" w:rsidRPr="00396C98" w:rsidRDefault="00F60C27" w:rsidP="00F60C27">
            <w:pPr>
              <w:spacing w:after="0"/>
              <w:jc w:val="center"/>
              <w:rPr>
                <w:rFonts w:asciiTheme="minorHAnsi" w:hAnsiTheme="minorHAnsi" w:cstheme="minorHAnsi"/>
                <w:color w:val="000000"/>
                <w:sz w:val="18"/>
                <w:szCs w:val="18"/>
              </w:rPr>
            </w:pPr>
            <w:r w:rsidRPr="00396C98">
              <w:rPr>
                <w:rFonts w:asciiTheme="minorHAnsi" w:hAnsiTheme="minorHAnsi" w:cstheme="minorHAnsi"/>
                <w:color w:val="000000"/>
                <w:sz w:val="18"/>
                <w:szCs w:val="18"/>
              </w:rPr>
              <w:t>3.55</w:t>
            </w:r>
          </w:p>
        </w:tc>
        <w:tc>
          <w:tcPr>
            <w:tcW w:w="596" w:type="dxa"/>
            <w:vAlign w:val="center"/>
          </w:tcPr>
          <w:p w:rsidR="00F60C27" w:rsidRPr="00396C98" w:rsidRDefault="00F60C27" w:rsidP="00F60C27">
            <w:pPr>
              <w:spacing w:after="0"/>
              <w:jc w:val="center"/>
              <w:rPr>
                <w:rFonts w:asciiTheme="minorHAnsi" w:hAnsiTheme="minorHAnsi" w:cstheme="minorHAnsi"/>
                <w:color w:val="000000"/>
                <w:sz w:val="18"/>
                <w:szCs w:val="18"/>
              </w:rPr>
            </w:pPr>
            <w:r w:rsidRPr="00396C98">
              <w:rPr>
                <w:rFonts w:asciiTheme="minorHAnsi" w:hAnsiTheme="minorHAnsi" w:cstheme="minorHAnsi"/>
                <w:sz w:val="18"/>
                <w:szCs w:val="18"/>
              </w:rPr>
              <w:t>5.01</w:t>
            </w:r>
          </w:p>
        </w:tc>
      </w:tr>
      <w:tr w:rsidR="00396C98" w:rsidRPr="00D876EE" w:rsidTr="00396C98">
        <w:trPr>
          <w:cnfStyle w:val="000000100000" w:firstRow="0" w:lastRow="0" w:firstColumn="0" w:lastColumn="0" w:oddVBand="0" w:evenVBand="0" w:oddHBand="1" w:evenHBand="0" w:firstRowFirstColumn="0" w:firstRowLastColumn="0" w:lastRowFirstColumn="0" w:lastRowLastColumn="0"/>
          <w:trHeight w:val="227"/>
        </w:trPr>
        <w:tc>
          <w:tcPr>
            <w:tcW w:w="1088" w:type="dxa"/>
            <w:tcBorders>
              <w:left w:val="single" w:sz="4" w:space="0" w:color="5B9BD5" w:themeColor="accent1"/>
            </w:tcBorders>
            <w:shd w:val="clear" w:color="auto" w:fill="FFFFFF" w:themeFill="background1"/>
            <w:noWrap/>
            <w:vAlign w:val="center"/>
            <w:hideMark/>
          </w:tcPr>
          <w:p w:rsidR="00F60C27" w:rsidRPr="00396C98" w:rsidRDefault="00F60C27" w:rsidP="00F60C27">
            <w:pPr>
              <w:spacing w:after="0"/>
              <w:jc w:val="both"/>
              <w:rPr>
                <w:rFonts w:asciiTheme="minorHAnsi" w:hAnsiTheme="minorHAnsi" w:cstheme="minorHAnsi"/>
                <w:bCs/>
                <w:sz w:val="18"/>
                <w:szCs w:val="18"/>
              </w:rPr>
            </w:pPr>
            <w:r w:rsidRPr="00396C98">
              <w:rPr>
                <w:rFonts w:asciiTheme="minorHAnsi" w:hAnsiTheme="minorHAnsi" w:cstheme="minorHAnsi"/>
                <w:bCs/>
                <w:sz w:val="18"/>
                <w:szCs w:val="18"/>
              </w:rPr>
              <w:t> </w:t>
            </w:r>
          </w:p>
        </w:tc>
        <w:tc>
          <w:tcPr>
            <w:tcW w:w="714" w:type="dxa"/>
            <w:shd w:val="clear" w:color="auto" w:fill="FFFFFF" w:themeFill="background1"/>
            <w:noWrap/>
            <w:vAlign w:val="center"/>
            <w:hideMark/>
          </w:tcPr>
          <w:p w:rsidR="00F60C27" w:rsidRPr="00396C98" w:rsidRDefault="00F60C27" w:rsidP="00F60C27">
            <w:pPr>
              <w:spacing w:after="0"/>
              <w:jc w:val="center"/>
              <w:rPr>
                <w:rFonts w:asciiTheme="minorHAnsi" w:hAnsiTheme="minorHAnsi" w:cstheme="minorHAnsi"/>
                <w:bCs/>
                <w:sz w:val="18"/>
                <w:szCs w:val="18"/>
              </w:rPr>
            </w:pPr>
            <w:r w:rsidRPr="00396C98">
              <w:rPr>
                <w:rFonts w:asciiTheme="minorHAnsi" w:hAnsiTheme="minorHAnsi" w:cstheme="minorHAnsi"/>
                <w:bCs/>
                <w:sz w:val="18"/>
                <w:szCs w:val="18"/>
              </w:rPr>
              <w:t>2025</w:t>
            </w:r>
          </w:p>
        </w:tc>
        <w:tc>
          <w:tcPr>
            <w:tcW w:w="1141" w:type="dxa"/>
            <w:shd w:val="clear" w:color="auto" w:fill="FFFFFF" w:themeFill="background1"/>
            <w:noWrap/>
            <w:vAlign w:val="center"/>
            <w:hideMark/>
          </w:tcPr>
          <w:p w:rsidR="00F60C27" w:rsidRPr="00396C98" w:rsidRDefault="00F60C27" w:rsidP="00F60C27">
            <w:pPr>
              <w:spacing w:after="0"/>
              <w:jc w:val="center"/>
              <w:rPr>
                <w:rFonts w:asciiTheme="minorHAnsi" w:hAnsiTheme="minorHAnsi" w:cstheme="minorHAnsi"/>
                <w:bCs/>
                <w:sz w:val="18"/>
                <w:szCs w:val="18"/>
              </w:rPr>
            </w:pPr>
            <w:r w:rsidRPr="00396C98">
              <w:rPr>
                <w:rFonts w:asciiTheme="minorHAnsi" w:hAnsiTheme="minorHAnsi" w:cstheme="minorHAnsi"/>
                <w:bCs/>
                <w:sz w:val="18"/>
                <w:szCs w:val="18"/>
              </w:rPr>
              <w:t>1.4</w:t>
            </w:r>
            <w:r w:rsidR="00CD5296" w:rsidRPr="00396C98">
              <w:rPr>
                <w:rFonts w:asciiTheme="minorHAnsi" w:hAnsiTheme="minorHAnsi" w:cstheme="minorHAnsi"/>
                <w:bCs/>
                <w:sz w:val="18"/>
                <w:szCs w:val="18"/>
              </w:rPr>
              <w:t>0</w:t>
            </w:r>
          </w:p>
        </w:tc>
        <w:tc>
          <w:tcPr>
            <w:tcW w:w="1134" w:type="dxa"/>
            <w:shd w:val="clear" w:color="auto" w:fill="FFFFFF" w:themeFill="background1"/>
            <w:noWrap/>
            <w:vAlign w:val="center"/>
            <w:hideMark/>
          </w:tcPr>
          <w:p w:rsidR="00F60C27" w:rsidRPr="00396C98" w:rsidRDefault="00F60C27" w:rsidP="00F60C27">
            <w:pPr>
              <w:spacing w:after="0"/>
              <w:jc w:val="center"/>
              <w:rPr>
                <w:rFonts w:asciiTheme="minorHAnsi" w:hAnsiTheme="minorHAnsi" w:cstheme="minorHAnsi"/>
                <w:bCs/>
                <w:sz w:val="18"/>
                <w:szCs w:val="18"/>
              </w:rPr>
            </w:pPr>
            <w:r w:rsidRPr="00396C98">
              <w:rPr>
                <w:rFonts w:asciiTheme="minorHAnsi" w:hAnsiTheme="minorHAnsi" w:cstheme="minorHAnsi"/>
                <w:bCs/>
                <w:sz w:val="18"/>
                <w:szCs w:val="18"/>
              </w:rPr>
              <w:t>3.31</w:t>
            </w:r>
          </w:p>
        </w:tc>
        <w:tc>
          <w:tcPr>
            <w:tcW w:w="596" w:type="dxa"/>
            <w:tcBorders>
              <w:right w:val="single" w:sz="2" w:space="0" w:color="5B9BD5" w:themeColor="accent1"/>
            </w:tcBorders>
            <w:shd w:val="clear" w:color="auto" w:fill="FFFFFF" w:themeFill="background1"/>
            <w:vAlign w:val="center"/>
          </w:tcPr>
          <w:p w:rsidR="00F60C27" w:rsidRPr="00396C98" w:rsidRDefault="00F60C27" w:rsidP="00F60C27">
            <w:pPr>
              <w:spacing w:after="0"/>
              <w:jc w:val="center"/>
              <w:rPr>
                <w:rFonts w:asciiTheme="minorHAnsi" w:hAnsiTheme="minorHAnsi" w:cstheme="minorHAnsi"/>
                <w:bCs/>
                <w:sz w:val="18"/>
                <w:szCs w:val="18"/>
              </w:rPr>
            </w:pPr>
            <w:r w:rsidRPr="00396C98">
              <w:rPr>
                <w:rFonts w:asciiTheme="minorHAnsi" w:hAnsiTheme="minorHAnsi" w:cstheme="minorHAnsi"/>
                <w:bCs/>
                <w:sz w:val="18"/>
                <w:szCs w:val="18"/>
              </w:rPr>
              <w:t>4.71</w:t>
            </w:r>
          </w:p>
        </w:tc>
        <w:tc>
          <w:tcPr>
            <w:tcW w:w="1247" w:type="dxa"/>
            <w:tcBorders>
              <w:left w:val="single" w:sz="2" w:space="0" w:color="5B9BD5" w:themeColor="accent1"/>
            </w:tcBorders>
            <w:vAlign w:val="bottom"/>
          </w:tcPr>
          <w:p w:rsidR="00F60C27" w:rsidRPr="00396C98" w:rsidRDefault="00F60C27" w:rsidP="00F60C27">
            <w:pPr>
              <w:spacing w:after="0"/>
              <w:rPr>
                <w:rFonts w:asciiTheme="minorHAnsi" w:hAnsiTheme="minorHAnsi" w:cstheme="minorHAnsi"/>
                <w:b/>
                <w:color w:val="000000"/>
                <w:sz w:val="18"/>
                <w:szCs w:val="18"/>
              </w:rPr>
            </w:pPr>
            <w:r w:rsidRPr="00396C98">
              <w:rPr>
                <w:rFonts w:asciiTheme="minorHAnsi" w:hAnsiTheme="minorHAnsi" w:cstheme="minorHAnsi"/>
                <w:color w:val="000000"/>
                <w:sz w:val="18"/>
                <w:szCs w:val="18"/>
              </w:rPr>
              <w:t> </w:t>
            </w:r>
          </w:p>
        </w:tc>
        <w:tc>
          <w:tcPr>
            <w:tcW w:w="655" w:type="dxa"/>
            <w:vAlign w:val="center"/>
          </w:tcPr>
          <w:p w:rsidR="00F60C27" w:rsidRPr="00396C98" w:rsidRDefault="00F60C27" w:rsidP="00F60C27">
            <w:pPr>
              <w:spacing w:after="0"/>
              <w:jc w:val="center"/>
              <w:rPr>
                <w:rFonts w:asciiTheme="minorHAnsi" w:hAnsiTheme="minorHAnsi" w:cstheme="minorHAnsi"/>
                <w:color w:val="000000"/>
                <w:sz w:val="18"/>
                <w:szCs w:val="18"/>
              </w:rPr>
            </w:pPr>
            <w:r w:rsidRPr="00396C98">
              <w:rPr>
                <w:rFonts w:asciiTheme="minorHAnsi" w:hAnsiTheme="minorHAnsi" w:cstheme="minorHAnsi"/>
                <w:color w:val="000000"/>
                <w:sz w:val="18"/>
                <w:szCs w:val="18"/>
              </w:rPr>
              <w:t>2025</w:t>
            </w:r>
          </w:p>
        </w:tc>
        <w:tc>
          <w:tcPr>
            <w:tcW w:w="1181" w:type="dxa"/>
            <w:vAlign w:val="center"/>
          </w:tcPr>
          <w:p w:rsidR="00F60C27" w:rsidRPr="00396C98" w:rsidRDefault="00F60C27" w:rsidP="00F60C27">
            <w:pPr>
              <w:spacing w:after="0"/>
              <w:jc w:val="center"/>
              <w:rPr>
                <w:rFonts w:asciiTheme="minorHAnsi" w:hAnsiTheme="minorHAnsi" w:cstheme="minorHAnsi"/>
                <w:color w:val="000000"/>
                <w:sz w:val="18"/>
                <w:szCs w:val="18"/>
              </w:rPr>
            </w:pPr>
            <w:r w:rsidRPr="00396C98">
              <w:rPr>
                <w:rFonts w:asciiTheme="minorHAnsi" w:hAnsiTheme="minorHAnsi" w:cstheme="minorHAnsi"/>
                <w:color w:val="000000"/>
                <w:sz w:val="18"/>
                <w:szCs w:val="18"/>
              </w:rPr>
              <w:t>1.47</w:t>
            </w:r>
          </w:p>
        </w:tc>
        <w:tc>
          <w:tcPr>
            <w:tcW w:w="1226" w:type="dxa"/>
            <w:vAlign w:val="center"/>
          </w:tcPr>
          <w:p w:rsidR="00F60C27" w:rsidRPr="00396C98" w:rsidRDefault="00F60C27" w:rsidP="00F60C27">
            <w:pPr>
              <w:spacing w:after="0"/>
              <w:jc w:val="center"/>
              <w:rPr>
                <w:rFonts w:asciiTheme="minorHAnsi" w:hAnsiTheme="minorHAnsi" w:cstheme="minorHAnsi"/>
                <w:color w:val="000000"/>
                <w:sz w:val="18"/>
                <w:szCs w:val="18"/>
              </w:rPr>
            </w:pPr>
            <w:r w:rsidRPr="00396C98">
              <w:rPr>
                <w:rFonts w:asciiTheme="minorHAnsi" w:hAnsiTheme="minorHAnsi" w:cstheme="minorHAnsi"/>
                <w:color w:val="000000"/>
                <w:sz w:val="18"/>
                <w:szCs w:val="18"/>
              </w:rPr>
              <w:t>3.58</w:t>
            </w:r>
          </w:p>
        </w:tc>
        <w:tc>
          <w:tcPr>
            <w:tcW w:w="596" w:type="dxa"/>
            <w:vAlign w:val="center"/>
          </w:tcPr>
          <w:p w:rsidR="00F60C27" w:rsidRPr="00396C98" w:rsidRDefault="00F60C27" w:rsidP="00F60C27">
            <w:pPr>
              <w:spacing w:after="0"/>
              <w:jc w:val="center"/>
              <w:rPr>
                <w:rFonts w:asciiTheme="minorHAnsi" w:hAnsiTheme="minorHAnsi" w:cstheme="minorHAnsi"/>
                <w:color w:val="000000"/>
                <w:sz w:val="18"/>
                <w:szCs w:val="18"/>
              </w:rPr>
            </w:pPr>
            <w:r w:rsidRPr="00396C98">
              <w:rPr>
                <w:rFonts w:asciiTheme="minorHAnsi" w:hAnsiTheme="minorHAnsi" w:cstheme="minorHAnsi"/>
                <w:sz w:val="18"/>
                <w:szCs w:val="18"/>
              </w:rPr>
              <w:t>5.05</w:t>
            </w:r>
          </w:p>
        </w:tc>
      </w:tr>
      <w:tr w:rsidR="00396C98" w:rsidRPr="00D876EE" w:rsidTr="004B4E59">
        <w:tblPrEx>
          <w:tblBorders>
            <w:top w:val="single" w:sz="2" w:space="0" w:color="5B9BD5" w:themeColor="accent1"/>
            <w:left w:val="single" w:sz="2" w:space="0" w:color="5B9BD5" w:themeColor="accent1"/>
            <w:bottom w:val="single" w:sz="2" w:space="0" w:color="5B9BD5" w:themeColor="accent1"/>
            <w:right w:val="single" w:sz="2" w:space="0" w:color="5B9BD5" w:themeColor="accent1"/>
          </w:tblBorders>
          <w:tblCellMar>
            <w:left w:w="71" w:type="dxa"/>
            <w:right w:w="71" w:type="dxa"/>
          </w:tblCellMar>
        </w:tblPrEx>
        <w:trPr>
          <w:trHeight w:val="149"/>
        </w:trPr>
        <w:tc>
          <w:tcPr>
            <w:tcW w:w="718" w:type="dxa"/>
            <w:tcBorders>
              <w:top w:val="single" w:sz="2" w:space="0" w:color="5B9BD5" w:themeColor="accent1"/>
              <w:left w:val="single" w:sz="2" w:space="0" w:color="5B9BD5" w:themeColor="accent1"/>
              <w:bottom w:val="single" w:sz="2" w:space="0" w:color="5B9BD5" w:themeColor="accent1"/>
            </w:tcBorders>
            <w:shd w:val="clear" w:color="auto" w:fill="FFFFFF" w:themeFill="background1"/>
            <w:noWrap/>
            <w:vAlign w:val="center"/>
            <w:hideMark/>
          </w:tcPr>
          <w:p w:rsidR="00F60C27" w:rsidRPr="00396C98" w:rsidRDefault="00F60C27" w:rsidP="00F60C27">
            <w:pPr>
              <w:spacing w:after="0"/>
              <w:jc w:val="both"/>
              <w:rPr>
                <w:rFonts w:asciiTheme="minorHAnsi" w:hAnsiTheme="minorHAnsi" w:cstheme="minorHAnsi"/>
                <w:bCs/>
                <w:sz w:val="18"/>
                <w:szCs w:val="18"/>
              </w:rPr>
            </w:pPr>
            <w:r w:rsidRPr="00396C98">
              <w:rPr>
                <w:rFonts w:asciiTheme="minorHAnsi" w:hAnsiTheme="minorHAnsi" w:cstheme="minorHAnsi"/>
                <w:bCs/>
                <w:sz w:val="18"/>
                <w:szCs w:val="18"/>
              </w:rPr>
              <w:t> </w:t>
            </w:r>
          </w:p>
        </w:tc>
        <w:tc>
          <w:tcPr>
            <w:tcW w:w="471" w:type="dxa"/>
            <w:tcBorders>
              <w:bottom w:val="single" w:sz="2" w:space="0" w:color="5B9BD5" w:themeColor="accent1"/>
            </w:tcBorders>
            <w:shd w:val="clear" w:color="auto" w:fill="FFFFFF" w:themeFill="background1"/>
            <w:noWrap/>
            <w:vAlign w:val="center"/>
            <w:hideMark/>
          </w:tcPr>
          <w:p w:rsidR="00F60C27" w:rsidRPr="00396C98" w:rsidRDefault="00F60C27" w:rsidP="00F60C27">
            <w:pPr>
              <w:spacing w:after="0"/>
              <w:jc w:val="center"/>
              <w:rPr>
                <w:rFonts w:asciiTheme="minorHAnsi" w:hAnsiTheme="minorHAnsi" w:cstheme="minorHAnsi"/>
                <w:bCs/>
                <w:sz w:val="18"/>
                <w:szCs w:val="18"/>
              </w:rPr>
            </w:pPr>
            <w:r w:rsidRPr="00396C98">
              <w:rPr>
                <w:rFonts w:asciiTheme="minorHAnsi" w:hAnsiTheme="minorHAnsi" w:cstheme="minorHAnsi"/>
                <w:bCs/>
                <w:sz w:val="18"/>
                <w:szCs w:val="18"/>
              </w:rPr>
              <w:t>2030</w:t>
            </w:r>
          </w:p>
        </w:tc>
        <w:tc>
          <w:tcPr>
            <w:tcW w:w="753" w:type="dxa"/>
            <w:tcBorders>
              <w:bottom w:val="single" w:sz="2" w:space="0" w:color="5B9BD5" w:themeColor="accent1"/>
            </w:tcBorders>
            <w:shd w:val="clear" w:color="auto" w:fill="FFFFFF" w:themeFill="background1"/>
            <w:noWrap/>
            <w:vAlign w:val="center"/>
            <w:hideMark/>
          </w:tcPr>
          <w:p w:rsidR="00F60C27" w:rsidRPr="00396C98" w:rsidRDefault="00F60C27" w:rsidP="00F60C27">
            <w:pPr>
              <w:spacing w:after="0"/>
              <w:jc w:val="center"/>
              <w:rPr>
                <w:rFonts w:asciiTheme="minorHAnsi" w:hAnsiTheme="minorHAnsi" w:cstheme="minorHAnsi"/>
                <w:bCs/>
                <w:sz w:val="18"/>
                <w:szCs w:val="18"/>
              </w:rPr>
            </w:pPr>
            <w:r w:rsidRPr="00396C98">
              <w:rPr>
                <w:rFonts w:asciiTheme="minorHAnsi" w:hAnsiTheme="minorHAnsi" w:cstheme="minorHAnsi"/>
                <w:bCs/>
                <w:sz w:val="18"/>
                <w:szCs w:val="18"/>
              </w:rPr>
              <w:t>1.41</w:t>
            </w:r>
          </w:p>
        </w:tc>
        <w:tc>
          <w:tcPr>
            <w:tcW w:w="748" w:type="dxa"/>
            <w:tcBorders>
              <w:bottom w:val="single" w:sz="2" w:space="0" w:color="5B9BD5" w:themeColor="accent1"/>
            </w:tcBorders>
            <w:shd w:val="clear" w:color="auto" w:fill="FFFFFF" w:themeFill="background1"/>
            <w:noWrap/>
            <w:vAlign w:val="center"/>
            <w:hideMark/>
          </w:tcPr>
          <w:p w:rsidR="00F60C27" w:rsidRPr="00396C98" w:rsidRDefault="00F60C27" w:rsidP="00F60C27">
            <w:pPr>
              <w:spacing w:after="0"/>
              <w:jc w:val="center"/>
              <w:rPr>
                <w:rFonts w:asciiTheme="minorHAnsi" w:hAnsiTheme="minorHAnsi" w:cstheme="minorHAnsi"/>
                <w:bCs/>
                <w:sz w:val="18"/>
                <w:szCs w:val="18"/>
              </w:rPr>
            </w:pPr>
            <w:r w:rsidRPr="00396C98">
              <w:rPr>
                <w:rFonts w:asciiTheme="minorHAnsi" w:hAnsiTheme="minorHAnsi" w:cstheme="minorHAnsi"/>
                <w:bCs/>
                <w:sz w:val="18"/>
                <w:szCs w:val="18"/>
              </w:rPr>
              <w:t>3.37</w:t>
            </w:r>
          </w:p>
        </w:tc>
        <w:tc>
          <w:tcPr>
            <w:tcW w:w="393" w:type="dxa"/>
            <w:tcBorders>
              <w:bottom w:val="single" w:sz="2" w:space="0" w:color="5B9BD5" w:themeColor="accent1"/>
              <w:right w:val="single" w:sz="2" w:space="0" w:color="5B9BD5" w:themeColor="accent1"/>
            </w:tcBorders>
            <w:shd w:val="clear" w:color="auto" w:fill="FFFFFF" w:themeFill="background1"/>
            <w:vAlign w:val="center"/>
          </w:tcPr>
          <w:p w:rsidR="00F60C27" w:rsidRPr="00396C98" w:rsidRDefault="00F60C27" w:rsidP="00F60C27">
            <w:pPr>
              <w:spacing w:after="0"/>
              <w:jc w:val="center"/>
              <w:rPr>
                <w:rFonts w:asciiTheme="minorHAnsi" w:hAnsiTheme="minorHAnsi" w:cstheme="minorHAnsi"/>
                <w:bCs/>
                <w:sz w:val="18"/>
                <w:szCs w:val="18"/>
              </w:rPr>
            </w:pPr>
            <w:r w:rsidRPr="00396C98">
              <w:rPr>
                <w:rFonts w:asciiTheme="minorHAnsi" w:hAnsiTheme="minorHAnsi" w:cstheme="minorHAnsi"/>
                <w:bCs/>
                <w:sz w:val="18"/>
                <w:szCs w:val="18"/>
              </w:rPr>
              <w:t>4.78</w:t>
            </w:r>
          </w:p>
        </w:tc>
        <w:tc>
          <w:tcPr>
            <w:tcW w:w="823" w:type="dxa"/>
            <w:tcBorders>
              <w:top w:val="single" w:sz="2" w:space="0" w:color="5B9BD5" w:themeColor="accent1"/>
              <w:left w:val="single" w:sz="2" w:space="0" w:color="5B9BD5" w:themeColor="accent1"/>
              <w:bottom w:val="single" w:sz="2" w:space="0" w:color="5B9BD5" w:themeColor="accent1"/>
            </w:tcBorders>
            <w:vAlign w:val="bottom"/>
          </w:tcPr>
          <w:p w:rsidR="00F60C27" w:rsidRPr="00396C98" w:rsidRDefault="00F60C27" w:rsidP="00F60C27">
            <w:pPr>
              <w:spacing w:after="0"/>
              <w:rPr>
                <w:rFonts w:asciiTheme="minorHAnsi" w:hAnsiTheme="minorHAnsi" w:cstheme="minorHAnsi"/>
                <w:b/>
                <w:color w:val="000000"/>
                <w:sz w:val="18"/>
                <w:szCs w:val="18"/>
              </w:rPr>
            </w:pPr>
            <w:r w:rsidRPr="00396C98">
              <w:rPr>
                <w:rFonts w:asciiTheme="minorHAnsi" w:hAnsiTheme="minorHAnsi" w:cstheme="minorHAnsi"/>
                <w:color w:val="000000"/>
                <w:sz w:val="18"/>
                <w:szCs w:val="18"/>
              </w:rPr>
              <w:t> </w:t>
            </w:r>
          </w:p>
        </w:tc>
        <w:tc>
          <w:tcPr>
            <w:tcW w:w="432" w:type="dxa"/>
            <w:tcBorders>
              <w:bottom w:val="single" w:sz="2" w:space="0" w:color="5B9BD5" w:themeColor="accent1"/>
            </w:tcBorders>
            <w:vAlign w:val="center"/>
          </w:tcPr>
          <w:p w:rsidR="00F60C27" w:rsidRPr="00396C98" w:rsidRDefault="00F60C27" w:rsidP="00F60C27">
            <w:pPr>
              <w:spacing w:after="0"/>
              <w:jc w:val="center"/>
              <w:rPr>
                <w:rFonts w:asciiTheme="minorHAnsi" w:hAnsiTheme="minorHAnsi" w:cstheme="minorHAnsi"/>
                <w:color w:val="000000"/>
                <w:sz w:val="18"/>
                <w:szCs w:val="18"/>
              </w:rPr>
            </w:pPr>
            <w:r w:rsidRPr="00396C98">
              <w:rPr>
                <w:rFonts w:asciiTheme="minorHAnsi" w:hAnsiTheme="minorHAnsi" w:cstheme="minorHAnsi"/>
                <w:color w:val="000000"/>
                <w:sz w:val="18"/>
                <w:szCs w:val="18"/>
              </w:rPr>
              <w:t>2030</w:t>
            </w:r>
          </w:p>
        </w:tc>
        <w:tc>
          <w:tcPr>
            <w:tcW w:w="779" w:type="dxa"/>
            <w:tcBorders>
              <w:bottom w:val="single" w:sz="2" w:space="0" w:color="5B9BD5" w:themeColor="accent1"/>
            </w:tcBorders>
            <w:vAlign w:val="center"/>
          </w:tcPr>
          <w:p w:rsidR="00F60C27" w:rsidRPr="00396C98" w:rsidRDefault="00F60C27" w:rsidP="00F60C27">
            <w:pPr>
              <w:spacing w:after="0"/>
              <w:jc w:val="center"/>
              <w:rPr>
                <w:rFonts w:asciiTheme="minorHAnsi" w:hAnsiTheme="minorHAnsi" w:cstheme="minorHAnsi"/>
                <w:color w:val="000000"/>
                <w:sz w:val="18"/>
                <w:szCs w:val="18"/>
              </w:rPr>
            </w:pPr>
            <w:r w:rsidRPr="00396C98">
              <w:rPr>
                <w:rFonts w:asciiTheme="minorHAnsi" w:hAnsiTheme="minorHAnsi" w:cstheme="minorHAnsi"/>
                <w:color w:val="000000"/>
                <w:sz w:val="18"/>
                <w:szCs w:val="18"/>
              </w:rPr>
              <w:t>1.48</w:t>
            </w:r>
          </w:p>
        </w:tc>
        <w:tc>
          <w:tcPr>
            <w:tcW w:w="809" w:type="dxa"/>
            <w:tcBorders>
              <w:bottom w:val="single" w:sz="2" w:space="0" w:color="5B9BD5" w:themeColor="accent1"/>
            </w:tcBorders>
            <w:vAlign w:val="center"/>
          </w:tcPr>
          <w:p w:rsidR="00F60C27" w:rsidRPr="00396C98" w:rsidRDefault="00F60C27" w:rsidP="00F60C27">
            <w:pPr>
              <w:spacing w:after="0"/>
              <w:jc w:val="center"/>
              <w:rPr>
                <w:rFonts w:asciiTheme="minorHAnsi" w:hAnsiTheme="minorHAnsi" w:cstheme="minorHAnsi"/>
                <w:color w:val="000000"/>
                <w:sz w:val="18"/>
                <w:szCs w:val="18"/>
              </w:rPr>
            </w:pPr>
            <w:r w:rsidRPr="00396C98">
              <w:rPr>
                <w:rFonts w:asciiTheme="minorHAnsi" w:hAnsiTheme="minorHAnsi" w:cstheme="minorHAnsi"/>
                <w:color w:val="000000"/>
                <w:sz w:val="18"/>
                <w:szCs w:val="18"/>
              </w:rPr>
              <w:t>3.6</w:t>
            </w:r>
            <w:r w:rsidR="00CD5296" w:rsidRPr="00396C98">
              <w:rPr>
                <w:rFonts w:asciiTheme="minorHAnsi" w:hAnsiTheme="minorHAnsi" w:cstheme="minorHAnsi"/>
                <w:color w:val="000000"/>
                <w:sz w:val="18"/>
                <w:szCs w:val="18"/>
              </w:rPr>
              <w:t>0</w:t>
            </w:r>
          </w:p>
        </w:tc>
        <w:tc>
          <w:tcPr>
            <w:tcW w:w="393" w:type="dxa"/>
            <w:tcBorders>
              <w:bottom w:val="single" w:sz="2" w:space="0" w:color="5B9BD5" w:themeColor="accent1"/>
            </w:tcBorders>
            <w:vAlign w:val="center"/>
          </w:tcPr>
          <w:p w:rsidR="00F60C27" w:rsidRPr="00396C98" w:rsidRDefault="00F60C27" w:rsidP="00F60C27">
            <w:pPr>
              <w:spacing w:after="0"/>
              <w:jc w:val="center"/>
              <w:rPr>
                <w:rFonts w:asciiTheme="minorHAnsi" w:hAnsiTheme="minorHAnsi" w:cstheme="minorHAnsi"/>
                <w:color w:val="000000"/>
                <w:sz w:val="18"/>
                <w:szCs w:val="18"/>
              </w:rPr>
            </w:pPr>
            <w:r w:rsidRPr="00396C98">
              <w:rPr>
                <w:rFonts w:asciiTheme="minorHAnsi" w:hAnsiTheme="minorHAnsi" w:cstheme="minorHAnsi"/>
                <w:sz w:val="18"/>
                <w:szCs w:val="18"/>
              </w:rPr>
              <w:t>5.08</w:t>
            </w:r>
          </w:p>
        </w:tc>
      </w:tr>
    </w:tbl>
    <w:p w:rsidR="00AB4FFA" w:rsidRPr="00516500" w:rsidRDefault="00AB4FFA" w:rsidP="00AB4FFA">
      <w:pPr>
        <w:rPr>
          <w:sz w:val="18"/>
          <w:szCs w:val="16"/>
        </w:rPr>
      </w:pPr>
      <w:r w:rsidRPr="00516500">
        <w:rPr>
          <w:sz w:val="18"/>
          <w:szCs w:val="16"/>
        </w:rPr>
        <w:t xml:space="preserve">Source: VISES estimates. </w:t>
      </w:r>
    </w:p>
    <w:p w:rsidR="00AE2BF3" w:rsidRPr="001906CE" w:rsidRDefault="00AE2BF3" w:rsidP="00AB4FFA">
      <w:pPr>
        <w:rPr>
          <w:sz w:val="16"/>
          <w:szCs w:val="16"/>
        </w:rPr>
      </w:pPr>
    </w:p>
    <w:p w:rsidR="00AB4FFA" w:rsidRDefault="00AB4FFA" w:rsidP="00AB4FFA">
      <w:pPr>
        <w:pStyle w:val="Heading2"/>
        <w:rPr>
          <w:lang w:eastAsia="en-AU"/>
        </w:rPr>
      </w:pPr>
      <w:bookmarkStart w:id="13" w:name="_Toc432077555"/>
      <w:r>
        <w:rPr>
          <w:lang w:eastAsia="en-AU"/>
        </w:rPr>
        <w:t>Impact of Ill Health on the Ability to Work</w:t>
      </w:r>
      <w:bookmarkEnd w:id="13"/>
    </w:p>
    <w:p w:rsidR="00785603" w:rsidRDefault="00AB4FFA" w:rsidP="00AB4FFA">
      <w:pPr>
        <w:rPr>
          <w:lang w:eastAsia="en-AU"/>
        </w:rPr>
      </w:pPr>
      <w:r>
        <w:rPr>
          <w:lang w:eastAsia="en-AU"/>
        </w:rPr>
        <w:t xml:space="preserve">Ill health prevents some people from working, and others are restricted in the amount of work they can </w:t>
      </w:r>
      <w:r w:rsidR="001071FB">
        <w:rPr>
          <w:lang w:eastAsia="en-AU"/>
        </w:rPr>
        <w:t>undertake. In</w:t>
      </w:r>
      <w:r>
        <w:rPr>
          <w:lang w:eastAsia="en-AU"/>
        </w:rPr>
        <w:t xml:space="preserve"> developed countries, such as the US and Australia, there are well developed systems for both recognising the impact of ill health on the ability to work and providing income support commensurate with the level of disability. Most developing countries also have systems and processes for identifying and supporting those in need arising from ill health, but they are more restrictive than those available in the developing countries. </w:t>
      </w:r>
    </w:p>
    <w:p w:rsidR="00785603" w:rsidRDefault="00785603" w:rsidP="00AB4FFA">
      <w:pPr>
        <w:rPr>
          <w:lang w:eastAsia="en-AU"/>
        </w:rPr>
      </w:pPr>
      <w:r>
        <w:rPr>
          <w:lang w:eastAsia="en-AU"/>
        </w:rPr>
        <w:t xml:space="preserve">Rasmussen </w:t>
      </w:r>
      <w:r w:rsidR="002D6EA2">
        <w:rPr>
          <w:lang w:eastAsia="en-AU"/>
        </w:rPr>
        <w:t xml:space="preserve">et al. </w:t>
      </w:r>
      <w:r w:rsidRPr="002D6EA2">
        <w:rPr>
          <w:lang w:eastAsia="en-AU"/>
        </w:rPr>
        <w:t>(2015</w:t>
      </w:r>
      <w:r w:rsidR="007B4B71" w:rsidRPr="002D6EA2">
        <w:rPr>
          <w:lang w:eastAsia="en-AU"/>
        </w:rPr>
        <w:t>a</w:t>
      </w:r>
      <w:r w:rsidR="006A7CA3">
        <w:rPr>
          <w:lang w:eastAsia="en-AU"/>
        </w:rPr>
        <w:t>,</w:t>
      </w:r>
      <w:r w:rsidR="002D6EA2" w:rsidRPr="001071FB">
        <w:rPr>
          <w:lang w:eastAsia="en-AU"/>
        </w:rPr>
        <w:t xml:space="preserve"> 2015</w:t>
      </w:r>
      <w:r w:rsidR="007B4B71" w:rsidRPr="002D6EA2">
        <w:rPr>
          <w:lang w:eastAsia="en-AU"/>
        </w:rPr>
        <w:t>b</w:t>
      </w:r>
      <w:r>
        <w:rPr>
          <w:lang w:eastAsia="en-AU"/>
        </w:rPr>
        <w:t xml:space="preserve">) provide a discussion of the different definitions </w:t>
      </w:r>
      <w:r w:rsidR="008E56DF">
        <w:rPr>
          <w:lang w:eastAsia="en-AU"/>
        </w:rPr>
        <w:t xml:space="preserve">of disability </w:t>
      </w:r>
      <w:r>
        <w:rPr>
          <w:lang w:eastAsia="en-AU"/>
        </w:rPr>
        <w:t>adopted by different countries and their impact on the estimated size of the disabled populations. Overall</w:t>
      </w:r>
      <w:r w:rsidR="00696111">
        <w:rPr>
          <w:lang w:eastAsia="en-AU"/>
        </w:rPr>
        <w:t>,</w:t>
      </w:r>
      <w:r>
        <w:rPr>
          <w:lang w:eastAsia="en-AU"/>
        </w:rPr>
        <w:t xml:space="preserve"> the </w:t>
      </w:r>
      <w:r w:rsidR="001071FB">
        <w:rPr>
          <w:lang w:eastAsia="en-AU"/>
        </w:rPr>
        <w:t>implications of these different definitions have</w:t>
      </w:r>
      <w:r>
        <w:rPr>
          <w:lang w:eastAsia="en-AU"/>
        </w:rPr>
        <w:t xml:space="preserve"> been to underreport the size of disabled </w:t>
      </w:r>
      <w:r w:rsidR="008E56DF">
        <w:rPr>
          <w:lang w:eastAsia="en-AU"/>
        </w:rPr>
        <w:t>populations</w:t>
      </w:r>
      <w:r>
        <w:rPr>
          <w:lang w:eastAsia="en-AU"/>
        </w:rPr>
        <w:t xml:space="preserve"> in many developing countries. The methodology adjusts for these </w:t>
      </w:r>
      <w:r w:rsidR="008E56DF">
        <w:rPr>
          <w:lang w:eastAsia="en-AU"/>
        </w:rPr>
        <w:t>differences</w:t>
      </w:r>
      <w:r>
        <w:rPr>
          <w:lang w:eastAsia="en-AU"/>
        </w:rPr>
        <w:t xml:space="preserve"> </w:t>
      </w:r>
      <w:r w:rsidR="008E56DF">
        <w:rPr>
          <w:lang w:eastAsia="en-AU"/>
        </w:rPr>
        <w:t>using the results of the Global Burden of Disease study referred to earlier in this report.</w:t>
      </w:r>
    </w:p>
    <w:p w:rsidR="00AB4FFA" w:rsidRDefault="00AB4FFA" w:rsidP="001071FB">
      <w:pPr>
        <w:pStyle w:val="Heading2"/>
        <w:spacing w:before="0" w:after="120"/>
      </w:pPr>
      <w:bookmarkStart w:id="14" w:name="_Toc432077557"/>
      <w:r>
        <w:lastRenderedPageBreak/>
        <w:t>The Economic Loss Due to Early Retirement</w:t>
      </w:r>
      <w:bookmarkEnd w:id="14"/>
      <w:r>
        <w:t xml:space="preserve"> </w:t>
      </w:r>
    </w:p>
    <w:p w:rsidR="00AB4FFA" w:rsidRDefault="00AB4FFA" w:rsidP="00AB4FFA">
      <w:r>
        <w:t xml:space="preserve">The best data we have about the behaviour of early retirees is from two surveys conducted in Australia, the Survey of </w:t>
      </w:r>
      <w:r w:rsidRPr="002859C3">
        <w:t>Disability, Ageing and Carers</w:t>
      </w:r>
      <w:r>
        <w:t xml:space="preserve"> (SDAC) and the </w:t>
      </w:r>
      <w:r w:rsidRPr="002859C3">
        <w:t>Retirement and Retirement Intentions</w:t>
      </w:r>
      <w:r>
        <w:t xml:space="preserve"> </w:t>
      </w:r>
      <w:r w:rsidR="00D9533E">
        <w:t>Survey</w:t>
      </w:r>
      <w:r>
        <w:t>. The SDAC provides details about those with disability by age, their sources of income and extent of disability. From this</w:t>
      </w:r>
      <w:r w:rsidR="00696111">
        <w:t>,</w:t>
      </w:r>
      <w:r>
        <w:t xml:space="preserve"> we gain a lot of information about the prevalence of disability by degree of impairment by age. The </w:t>
      </w:r>
      <w:r w:rsidRPr="002859C3">
        <w:t>Retirement and Retirement Intentions</w:t>
      </w:r>
      <w:r>
        <w:t xml:space="preserve"> </w:t>
      </w:r>
      <w:r w:rsidR="00D9533E">
        <w:t xml:space="preserve">Survey </w:t>
      </w:r>
      <w:r>
        <w:t xml:space="preserve">provides data by age about the reasons for retirement, including due to ill health. To the extent that we have been able to cross reference this against US data, the key parameters seem to be similar. In addition, we have obtained unpublished data about Australian disability pension recipients. </w:t>
      </w:r>
    </w:p>
    <w:p w:rsidR="00AB4FFA" w:rsidRDefault="00AB4FFA" w:rsidP="00AB4FFA">
      <w:r>
        <w:t>Our modelling assumes that the decision to retire due to ill health is based on the impact of the relative morbidity</w:t>
      </w:r>
      <w:r w:rsidRPr="003E024D">
        <w:t xml:space="preserve"> </w:t>
      </w:r>
      <w:r>
        <w:t>of the 50-64 age group, measured in DALYs, in each of the selected countries.</w:t>
      </w:r>
    </w:p>
    <w:p w:rsidR="00AB4FFA" w:rsidRDefault="00AB4FFA" w:rsidP="00AB4FFA">
      <w:r>
        <w:t xml:space="preserve">There is very little data from the relevant countries with the necessary detail to model economic loss, so we used parameters drawn from the Australian data, which we adjusted where we could to the circumstances of the particular selected </w:t>
      </w:r>
      <w:r w:rsidR="001071A0">
        <w:t>country</w:t>
      </w:r>
      <w:r>
        <w:t>. For instance</w:t>
      </w:r>
      <w:r w:rsidR="001071A0">
        <w:t>,</w:t>
      </w:r>
      <w:r>
        <w:t xml:space="preserve"> in arriving at the proportion of the population aged 50-64 who were disabled according to the international WHO/World Bank definition, we used the Australian proportion (</w:t>
      </w:r>
      <w:r w:rsidR="001071A0">
        <w:t xml:space="preserve">the </w:t>
      </w:r>
      <w:r>
        <w:t>US proportion was very similar) adjusted for country</w:t>
      </w:r>
      <w:r w:rsidR="001071A0">
        <w:t>-</w:t>
      </w:r>
      <w:r>
        <w:t>specific disease burden sourced from the Global Burden of Disease study. A proportion based on Australian experience of these was estimated to have retired.</w:t>
      </w:r>
    </w:p>
    <w:p w:rsidR="00AB4FFA" w:rsidRDefault="00AB4FFA" w:rsidP="00AB4FFA">
      <w:r>
        <w:t xml:space="preserve">In essence, the economic loss is equal to those in early retirement multiplied by the average GDP per worker for each of the selected countries. This is projected </w:t>
      </w:r>
      <w:r w:rsidR="00EA7420">
        <w:t xml:space="preserve">to 2030 </w:t>
      </w:r>
      <w:r>
        <w:t xml:space="preserve">using the UN population projections for each </w:t>
      </w:r>
      <w:r w:rsidR="001071A0">
        <w:t>country</w:t>
      </w:r>
      <w:r>
        <w:t xml:space="preserve"> for those aged 50-64. The results are shown for 2015 through to 2030 in Figure </w:t>
      </w:r>
      <w:r w:rsidR="00BC38D0">
        <w:t>6</w:t>
      </w:r>
      <w:r>
        <w:t>. Given the complexity of the trends in risk factors, the age adjusted disease burden rate is assumed to be constant over the projection period.</w:t>
      </w:r>
    </w:p>
    <w:p w:rsidR="00AB4FFA" w:rsidRPr="00C66BFD" w:rsidRDefault="00AB4FFA" w:rsidP="00C66BFD">
      <w:pPr>
        <w:pStyle w:val="Figureheading"/>
      </w:pPr>
      <w:bookmarkStart w:id="15" w:name="_Toc432077587"/>
      <w:r w:rsidRPr="00C66BFD">
        <w:lastRenderedPageBreak/>
        <w:t xml:space="preserve">Figure </w:t>
      </w:r>
      <w:r w:rsidR="0013771C">
        <w:t>6</w:t>
      </w:r>
      <w:r w:rsidR="004575DE" w:rsidRPr="00C66BFD">
        <w:t xml:space="preserve"> </w:t>
      </w:r>
      <w:r w:rsidRPr="00C66BFD">
        <w:t xml:space="preserve">Economic cost of early retirement, </w:t>
      </w:r>
      <w:r w:rsidR="00913D86">
        <w:t>Jiangsu</w:t>
      </w:r>
      <w:r w:rsidR="00C9175B">
        <w:t xml:space="preserve"> and </w:t>
      </w:r>
      <w:r w:rsidRPr="00C66BFD">
        <w:t xml:space="preserve">selected countries, 2015 </w:t>
      </w:r>
      <w:r w:rsidR="00C9175B">
        <w:t>to</w:t>
      </w:r>
      <w:r w:rsidRPr="00C66BFD">
        <w:t xml:space="preserve"> 2030</w:t>
      </w:r>
      <w:bookmarkEnd w:id="15"/>
    </w:p>
    <w:p w:rsidR="00AB4FFA" w:rsidRDefault="002D3375" w:rsidP="00E811A1">
      <w:pPr>
        <w:spacing w:after="0"/>
      </w:pPr>
      <w:r>
        <w:rPr>
          <w:noProof/>
          <w:lang w:eastAsia="en-AU"/>
        </w:rPr>
        <w:drawing>
          <wp:inline distT="0" distB="0" distL="0" distR="0" wp14:anchorId="4BEAA990" wp14:editId="0477D1F5">
            <wp:extent cx="4572000" cy="3124200"/>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AB4FFA" w:rsidRPr="00516500" w:rsidRDefault="00AB4FFA" w:rsidP="00AB4FFA">
      <w:pPr>
        <w:rPr>
          <w:sz w:val="18"/>
          <w:szCs w:val="16"/>
        </w:rPr>
      </w:pPr>
      <w:r w:rsidRPr="00516500">
        <w:rPr>
          <w:sz w:val="18"/>
          <w:szCs w:val="16"/>
        </w:rPr>
        <w:t>Source: VISES estimates.</w:t>
      </w:r>
    </w:p>
    <w:p w:rsidR="00AB4FFA" w:rsidRDefault="00AB4FFA" w:rsidP="00AB4FFA">
      <w:r>
        <w:t>The projections are largely driven by the ageing process, in particular the proportion for each country in the 50-64 age group</w:t>
      </w:r>
      <w:r w:rsidR="000A3C4F" w:rsidRPr="000A3C4F">
        <w:t xml:space="preserve"> </w:t>
      </w:r>
      <w:r w:rsidR="000A3C4F">
        <w:t>and by the size of the burden of NCDs</w:t>
      </w:r>
      <w:r>
        <w:t>.</w:t>
      </w:r>
      <w:r w:rsidR="000A3C4F">
        <w:t xml:space="preserve"> This places </w:t>
      </w:r>
      <w:r w:rsidR="00B20DD7">
        <w:t>Jiangsu</w:t>
      </w:r>
      <w:r w:rsidR="00EA7420">
        <w:t xml:space="preserve"> in t</w:t>
      </w:r>
      <w:r w:rsidR="00B962E1">
        <w:t xml:space="preserve">he </w:t>
      </w:r>
      <w:r w:rsidR="00FA3004">
        <w:t>top</w:t>
      </w:r>
      <w:r w:rsidR="002D3375">
        <w:t>-end</w:t>
      </w:r>
      <w:r w:rsidR="00B743CB">
        <w:t xml:space="preserve"> </w:t>
      </w:r>
      <w:r w:rsidR="00EA7420">
        <w:t>range</w:t>
      </w:r>
      <w:r w:rsidR="00314BBD">
        <w:t xml:space="preserve"> of the</w:t>
      </w:r>
      <w:r w:rsidR="00B962E1">
        <w:t xml:space="preserve"> comparator countries</w:t>
      </w:r>
      <w:r w:rsidR="001071A0">
        <w:t>,</w:t>
      </w:r>
      <w:r w:rsidR="000A3C4F">
        <w:t xml:space="preserve"> and with a loss </w:t>
      </w:r>
      <w:r w:rsidR="00EA7420">
        <w:t xml:space="preserve">increasing more </w:t>
      </w:r>
      <w:r w:rsidR="00B20DD7">
        <w:t>quickly</w:t>
      </w:r>
      <w:r w:rsidR="00EA7420">
        <w:t xml:space="preserve"> compared with </w:t>
      </w:r>
      <w:r w:rsidR="00FA3004">
        <w:t xml:space="preserve">Japan, </w:t>
      </w:r>
      <w:r w:rsidR="00677BA0">
        <w:t xml:space="preserve">Indonesia </w:t>
      </w:r>
      <w:r w:rsidR="00EA7420">
        <w:t xml:space="preserve">and </w:t>
      </w:r>
      <w:r w:rsidR="00B20DD7">
        <w:t>Malaysia and China</w:t>
      </w:r>
      <w:r w:rsidR="000A3C4F">
        <w:t xml:space="preserve">. </w:t>
      </w:r>
      <w:r w:rsidR="00EA7420">
        <w:t>Clearly</w:t>
      </w:r>
      <w:r w:rsidR="004575DE">
        <w:t>,</w:t>
      </w:r>
      <w:r w:rsidR="00EA7420">
        <w:t xml:space="preserve"> the mature econom</w:t>
      </w:r>
      <w:r w:rsidR="002D3375">
        <w:t>ies</w:t>
      </w:r>
      <w:r w:rsidR="00EA7420">
        <w:t xml:space="preserve"> of </w:t>
      </w:r>
      <w:r w:rsidR="00B20DD7">
        <w:t>Japan</w:t>
      </w:r>
      <w:r w:rsidR="002D3375">
        <w:t xml:space="preserve"> and United States</w:t>
      </w:r>
      <w:r w:rsidR="00EA7420">
        <w:t xml:space="preserve"> ha</w:t>
      </w:r>
      <w:r w:rsidR="002D3375">
        <w:t>ve</w:t>
      </w:r>
      <w:r w:rsidR="00EA7420">
        <w:t xml:space="preserve"> significant losses </w:t>
      </w:r>
      <w:r w:rsidR="00FA3004">
        <w:t xml:space="preserve">also </w:t>
      </w:r>
      <w:r w:rsidR="00EA7420">
        <w:t>due to early retirement due to ill health</w:t>
      </w:r>
      <w:r w:rsidR="004575DE">
        <w:t>;</w:t>
      </w:r>
      <w:r w:rsidR="00EA7420">
        <w:t xml:space="preserve"> it is the relatively high rate of increase for </w:t>
      </w:r>
      <w:r w:rsidR="00FA3004">
        <w:t xml:space="preserve">Jiangsu, </w:t>
      </w:r>
      <w:r w:rsidR="00677BA0">
        <w:t>China</w:t>
      </w:r>
      <w:r w:rsidR="00EA7420">
        <w:t xml:space="preserve"> </w:t>
      </w:r>
      <w:r w:rsidR="00B20DD7">
        <w:t xml:space="preserve">and Japan </w:t>
      </w:r>
      <w:r w:rsidR="00EA7420">
        <w:t xml:space="preserve">shown in Figure </w:t>
      </w:r>
      <w:r w:rsidR="00BC38D0">
        <w:t>7</w:t>
      </w:r>
      <w:r w:rsidR="004575DE">
        <w:t xml:space="preserve"> </w:t>
      </w:r>
      <w:r w:rsidR="00EA7420">
        <w:t>that is a cause for concern.</w:t>
      </w:r>
    </w:p>
    <w:p w:rsidR="00AB4FFA" w:rsidRDefault="00C9175B" w:rsidP="00382C99">
      <w:pPr>
        <w:pStyle w:val="Figureheading"/>
      </w:pPr>
      <w:bookmarkStart w:id="16" w:name="_Toc432077567"/>
      <w:r>
        <w:lastRenderedPageBreak/>
        <w:t>Figure</w:t>
      </w:r>
      <w:r w:rsidR="00EA7420">
        <w:t xml:space="preserve"> </w:t>
      </w:r>
      <w:r w:rsidR="0013771C">
        <w:t>7</w:t>
      </w:r>
      <w:r w:rsidR="004575DE">
        <w:t xml:space="preserve"> </w:t>
      </w:r>
      <w:r w:rsidR="00EA7420">
        <w:t>Change</w:t>
      </w:r>
      <w:r>
        <w:t xml:space="preserve"> in e</w:t>
      </w:r>
      <w:r w:rsidR="00AB4FFA">
        <w:t xml:space="preserve">conomic cost of early retirement, </w:t>
      </w:r>
      <w:r w:rsidR="00DC484A">
        <w:t xml:space="preserve">Jiangsu and </w:t>
      </w:r>
      <w:r w:rsidR="00AB4FFA">
        <w:t>selected countries, 2015 and 2030</w:t>
      </w:r>
      <w:bookmarkEnd w:id="16"/>
    </w:p>
    <w:p w:rsidR="00C9175B" w:rsidRDefault="00477F9A" w:rsidP="00382C99">
      <w:pPr>
        <w:pStyle w:val="Figureheading"/>
      </w:pPr>
      <w:r>
        <w:rPr>
          <w:noProof/>
          <w:lang w:val="en-AU"/>
        </w:rPr>
        <w:drawing>
          <wp:inline distT="0" distB="0" distL="0" distR="0" wp14:anchorId="03BE52EA" wp14:editId="377F833F">
            <wp:extent cx="4572000" cy="3124200"/>
            <wp:effectExtent l="0" t="0" r="0" b="0"/>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AB4FFA" w:rsidRPr="00516500" w:rsidRDefault="00D87247" w:rsidP="00AB4FFA">
      <w:pPr>
        <w:rPr>
          <w:sz w:val="18"/>
          <w:szCs w:val="16"/>
        </w:rPr>
      </w:pPr>
      <w:r w:rsidRPr="00516500">
        <w:rPr>
          <w:sz w:val="18"/>
          <w:szCs w:val="16"/>
        </w:rPr>
        <w:t>Source: VISES estimates.</w:t>
      </w:r>
    </w:p>
    <w:p w:rsidR="009C5099" w:rsidRPr="001906CE" w:rsidRDefault="009C5099" w:rsidP="00AB4FFA">
      <w:pPr>
        <w:rPr>
          <w:sz w:val="16"/>
          <w:szCs w:val="16"/>
        </w:rPr>
      </w:pPr>
    </w:p>
    <w:p w:rsidR="00AB4FFA" w:rsidRDefault="00AB4FFA" w:rsidP="00AB4FFA">
      <w:pPr>
        <w:pStyle w:val="Heading2"/>
      </w:pPr>
      <w:bookmarkStart w:id="17" w:name="_Toc432077558"/>
      <w:r>
        <w:t>Conclusions from the Analysis</w:t>
      </w:r>
      <w:bookmarkEnd w:id="17"/>
    </w:p>
    <w:p w:rsidR="00D93E36" w:rsidRDefault="00D724F6" w:rsidP="00AB4FFA">
      <w:r>
        <w:t xml:space="preserve">Although Jiangsu currently has a low level of disease burden due to NCDs, the rapid aging of its population, especially the </w:t>
      </w:r>
      <w:r w:rsidR="00D71F52">
        <w:t>substantial</w:t>
      </w:r>
      <w:r>
        <w:t xml:space="preserve"> increase in the proportion of its workforce age 50-64, is expected to result in a significant increase in the economic impact of absenteeism, presenteeism and</w:t>
      </w:r>
      <w:r w:rsidR="00D93E36">
        <w:t xml:space="preserve"> </w:t>
      </w:r>
      <w:r>
        <w:t>illness-related early retirement</w:t>
      </w:r>
      <w:r w:rsidR="00732DF7">
        <w:t xml:space="preserve"> from 5.3 per cent of GDP in 2015 to 6.3 per cent by 2030</w:t>
      </w:r>
      <w:r>
        <w:t xml:space="preserve">. </w:t>
      </w:r>
    </w:p>
    <w:p w:rsidR="00AB4FFA" w:rsidRDefault="008C426D" w:rsidP="00AB4FFA">
      <w:r>
        <w:t>It</w:t>
      </w:r>
      <w:r w:rsidR="00AB4FFA">
        <w:t xml:space="preserve"> is clear that with time</w:t>
      </w:r>
      <w:r w:rsidR="009C5099">
        <w:t>,</w:t>
      </w:r>
      <w:r w:rsidR="00AB4FFA">
        <w:t xml:space="preserve"> most of the developing and middle income countries will have an increasing proportion of their workforce </w:t>
      </w:r>
      <w:r w:rsidR="00D74895">
        <w:t>entering</w:t>
      </w:r>
      <w:r w:rsidR="00AB4FFA">
        <w:t xml:space="preserve"> the older age groups </w:t>
      </w:r>
      <w:r w:rsidR="00D74895">
        <w:t>where the burden of NCDs is much higher</w:t>
      </w:r>
      <w:r w:rsidR="00AB4FFA">
        <w:t xml:space="preserve">. </w:t>
      </w:r>
      <w:r w:rsidR="00BE5E4E">
        <w:t xml:space="preserve">Of the countries included in this study, </w:t>
      </w:r>
      <w:r w:rsidR="00B20DD7">
        <w:t>Jiangsu</w:t>
      </w:r>
      <w:r w:rsidR="00BE5E4E">
        <w:t xml:space="preserve"> can expect to have a </w:t>
      </w:r>
      <w:r w:rsidR="00B20DD7">
        <w:t>rapidly</w:t>
      </w:r>
      <w:r w:rsidR="00BE5E4E">
        <w:t xml:space="preserve"> ageing work force. </w:t>
      </w:r>
      <w:r w:rsidR="00AB4FFA">
        <w:t xml:space="preserve">Without greater attention to improved health behaviours, </w:t>
      </w:r>
      <w:r w:rsidR="00E41A7E">
        <w:t>its work force</w:t>
      </w:r>
      <w:r w:rsidR="00AB4FFA">
        <w:t xml:space="preserve"> will become less healthy and more subject to absenteeism, presenteeism and early retirement.  </w:t>
      </w:r>
    </w:p>
    <w:p w:rsidR="006C2B4B" w:rsidRDefault="00FE28C3" w:rsidP="00AB4FFA">
      <w:r>
        <w:t>Overall</w:t>
      </w:r>
      <w:r w:rsidR="004575DE">
        <w:t>,</w:t>
      </w:r>
      <w:r>
        <w:t xml:space="preserve"> </w:t>
      </w:r>
      <w:r w:rsidR="00D87247">
        <w:t xml:space="preserve">modelling </w:t>
      </w:r>
      <w:r w:rsidR="00AB4FFA">
        <w:t xml:space="preserve">undertaken for this study </w:t>
      </w:r>
      <w:r w:rsidR="00584670">
        <w:t>(summarised in Table</w:t>
      </w:r>
      <w:r w:rsidR="00E41A7E">
        <w:t xml:space="preserve"> </w:t>
      </w:r>
      <w:r w:rsidR="00BD745A">
        <w:t>3</w:t>
      </w:r>
      <w:r w:rsidR="0000631B">
        <w:t xml:space="preserve"> above</w:t>
      </w:r>
      <w:r w:rsidR="00584670">
        <w:t>)</w:t>
      </w:r>
      <w:r w:rsidR="00BE5E4E">
        <w:t xml:space="preserve"> </w:t>
      </w:r>
      <w:r w:rsidR="00AB4FFA">
        <w:t xml:space="preserve">has indicated that the economic costs of </w:t>
      </w:r>
      <w:r>
        <w:t xml:space="preserve">absenteeism and presenteeism range from </w:t>
      </w:r>
      <w:r w:rsidR="002D3375">
        <w:t>3</w:t>
      </w:r>
      <w:r>
        <w:t>-</w:t>
      </w:r>
      <w:r w:rsidR="002D3375">
        <w:t>5</w:t>
      </w:r>
      <w:r>
        <w:t xml:space="preserve">% of GDP by 2030 and </w:t>
      </w:r>
      <w:r w:rsidR="002D3375">
        <w:t>2</w:t>
      </w:r>
      <w:r>
        <w:t>-</w:t>
      </w:r>
      <w:r w:rsidR="002D3375">
        <w:t>3</w:t>
      </w:r>
      <w:r>
        <w:t xml:space="preserve">% of GDP </w:t>
      </w:r>
      <w:r w:rsidR="00AB6AA9">
        <w:t>for early</w:t>
      </w:r>
      <w:r w:rsidR="00AB4FFA">
        <w:t xml:space="preserve"> retirement due to ill health</w:t>
      </w:r>
      <w:r w:rsidR="00D87247">
        <w:t>,</w:t>
      </w:r>
      <w:r w:rsidR="00AB4FFA">
        <w:t xml:space="preserve"> </w:t>
      </w:r>
      <w:r>
        <w:t xml:space="preserve">taking productivity impact to </w:t>
      </w:r>
      <w:r w:rsidR="00BE5E4E">
        <w:t>6</w:t>
      </w:r>
      <w:r w:rsidR="00113171">
        <w:t>-</w:t>
      </w:r>
      <w:r w:rsidR="00BE5E4E">
        <w:t>8</w:t>
      </w:r>
      <w:r w:rsidR="00113171">
        <w:t xml:space="preserve"> % of GDP.</w:t>
      </w:r>
      <w:r w:rsidR="008C426D">
        <w:t xml:space="preserve"> </w:t>
      </w:r>
      <w:r w:rsidR="00B20DD7">
        <w:t>Jiangsu</w:t>
      </w:r>
      <w:r w:rsidR="0000631B">
        <w:t>,</w:t>
      </w:r>
      <w:r w:rsidR="00595318">
        <w:t xml:space="preserve"> at</w:t>
      </w:r>
      <w:r w:rsidR="00BE5E4E">
        <w:t xml:space="preserve"> </w:t>
      </w:r>
      <w:r w:rsidR="002D3375">
        <w:t>6.3%</w:t>
      </w:r>
      <w:r w:rsidR="00BE5E4E">
        <w:t xml:space="preserve"> in </w:t>
      </w:r>
      <w:r w:rsidR="00595318">
        <w:t>2030</w:t>
      </w:r>
      <w:r w:rsidR="0000631B">
        <w:t>,</w:t>
      </w:r>
      <w:r w:rsidR="00595318">
        <w:t xml:space="preserve"> will</w:t>
      </w:r>
      <w:r w:rsidR="00BE5E4E">
        <w:t xml:space="preserve"> </w:t>
      </w:r>
      <w:r w:rsidR="00E41A7E">
        <w:t xml:space="preserve">be among those countries to have increased most </w:t>
      </w:r>
      <w:r w:rsidR="00B20DD7">
        <w:t>rapidly</w:t>
      </w:r>
      <w:r w:rsidR="00E41A7E">
        <w:t xml:space="preserve"> </w:t>
      </w:r>
      <w:r w:rsidR="00A3757C">
        <w:t>with an</w:t>
      </w:r>
      <w:r w:rsidR="00E41A7E">
        <w:t xml:space="preserve"> increase </w:t>
      </w:r>
      <w:r w:rsidR="00A3757C">
        <w:t>of</w:t>
      </w:r>
      <w:r w:rsidR="00E41A7E">
        <w:t xml:space="preserve"> </w:t>
      </w:r>
      <w:r w:rsidR="008F4996" w:rsidRPr="002D3375">
        <w:t xml:space="preserve">about </w:t>
      </w:r>
      <w:r w:rsidR="002D3375">
        <w:t>1.0</w:t>
      </w:r>
      <w:r w:rsidR="00E41A7E">
        <w:t xml:space="preserve"> percentage points (</w:t>
      </w:r>
      <w:r w:rsidR="00AE2BF3">
        <w:t xml:space="preserve">see </w:t>
      </w:r>
      <w:r w:rsidR="00E41A7E">
        <w:t>Fig</w:t>
      </w:r>
      <w:r w:rsidR="006A7CA3">
        <w:t xml:space="preserve">ure </w:t>
      </w:r>
      <w:r w:rsidR="008F4996" w:rsidRPr="000E5DDF">
        <w:t>8</w:t>
      </w:r>
      <w:r w:rsidR="00E41A7E" w:rsidRPr="00751BDF">
        <w:t xml:space="preserve">). This is largely due to </w:t>
      </w:r>
      <w:r w:rsidR="00393E87">
        <w:t>the</w:t>
      </w:r>
      <w:r w:rsidR="00393E87" w:rsidRPr="00751BDF">
        <w:t xml:space="preserve"> </w:t>
      </w:r>
      <w:r w:rsidR="00595318" w:rsidRPr="00751BDF">
        <w:t xml:space="preserve">relatively </w:t>
      </w:r>
      <w:r w:rsidR="006C2B4B">
        <w:t>higher</w:t>
      </w:r>
      <w:r w:rsidR="00595318" w:rsidRPr="00751BDF">
        <w:t xml:space="preserve"> proportion of its work force in </w:t>
      </w:r>
      <w:r w:rsidR="00A3757C" w:rsidRPr="00751BDF">
        <w:t xml:space="preserve">older age </w:t>
      </w:r>
      <w:r w:rsidR="00751BDF" w:rsidRPr="00751BDF">
        <w:t>and increasing levels</w:t>
      </w:r>
      <w:r w:rsidR="00A3757C" w:rsidRPr="00751BDF">
        <w:t xml:space="preserve"> of chronic disease</w:t>
      </w:r>
      <w:r w:rsidR="00751BDF" w:rsidRPr="00751BDF">
        <w:t xml:space="preserve"> with age</w:t>
      </w:r>
      <w:r w:rsidR="002D3375">
        <w:t>.</w:t>
      </w:r>
    </w:p>
    <w:p w:rsidR="0000631B" w:rsidRDefault="0000631B">
      <w:pPr>
        <w:spacing w:after="160" w:line="259" w:lineRule="auto"/>
        <w:rPr>
          <w:b/>
          <w:sz w:val="20"/>
          <w:szCs w:val="20"/>
        </w:rPr>
      </w:pPr>
      <w:r>
        <w:rPr>
          <w:b/>
          <w:sz w:val="20"/>
          <w:szCs w:val="20"/>
        </w:rPr>
        <w:br w:type="page"/>
      </w:r>
    </w:p>
    <w:p w:rsidR="0000631B" w:rsidRDefault="0000631B" w:rsidP="0000631B">
      <w:pPr>
        <w:spacing w:after="0"/>
        <w:rPr>
          <w:b/>
          <w:sz w:val="20"/>
          <w:szCs w:val="20"/>
        </w:rPr>
      </w:pPr>
      <w:r w:rsidRPr="001071FB">
        <w:rPr>
          <w:b/>
          <w:sz w:val="20"/>
          <w:szCs w:val="20"/>
        </w:rPr>
        <w:lastRenderedPageBreak/>
        <w:t xml:space="preserve">Table </w:t>
      </w:r>
      <w:r>
        <w:rPr>
          <w:b/>
          <w:sz w:val="20"/>
          <w:szCs w:val="20"/>
        </w:rPr>
        <w:t xml:space="preserve">4 </w:t>
      </w:r>
      <w:r w:rsidRPr="001071FB">
        <w:rPr>
          <w:b/>
          <w:sz w:val="20"/>
          <w:szCs w:val="20"/>
        </w:rPr>
        <w:t xml:space="preserve">Total </w:t>
      </w:r>
      <w:r>
        <w:rPr>
          <w:b/>
          <w:sz w:val="20"/>
          <w:szCs w:val="20"/>
        </w:rPr>
        <w:t>e</w:t>
      </w:r>
      <w:r w:rsidRPr="001071FB">
        <w:rPr>
          <w:b/>
          <w:sz w:val="20"/>
          <w:szCs w:val="20"/>
        </w:rPr>
        <w:t>conomic impact of absenteeism, presenteeism and early retirement</w:t>
      </w:r>
    </w:p>
    <w:tbl>
      <w:tblPr>
        <w:tblStyle w:val="LightList-Accent11"/>
        <w:tblW w:w="0" w:type="auto"/>
        <w:tblLayout w:type="fixed"/>
        <w:tblLook w:val="0420" w:firstRow="1" w:lastRow="0" w:firstColumn="0" w:lastColumn="0" w:noHBand="0" w:noVBand="1"/>
      </w:tblPr>
      <w:tblGrid>
        <w:gridCol w:w="1114"/>
        <w:gridCol w:w="1371"/>
        <w:gridCol w:w="1371"/>
        <w:gridCol w:w="1372"/>
        <w:gridCol w:w="1371"/>
        <w:gridCol w:w="1371"/>
        <w:gridCol w:w="1372"/>
      </w:tblGrid>
      <w:tr w:rsidR="0000631B" w:rsidRPr="006A1B52" w:rsidTr="005E5CB1">
        <w:trPr>
          <w:cnfStyle w:val="100000000000" w:firstRow="1" w:lastRow="0" w:firstColumn="0" w:lastColumn="0" w:oddVBand="0" w:evenVBand="0" w:oddHBand="0" w:evenHBand="0" w:firstRowFirstColumn="0" w:firstRowLastColumn="0" w:lastRowFirstColumn="0" w:lastRowLastColumn="0"/>
        </w:trPr>
        <w:tc>
          <w:tcPr>
            <w:tcW w:w="1114" w:type="dxa"/>
            <w:tcBorders>
              <w:right w:val="single" w:sz="8" w:space="0" w:color="FFFFFF" w:themeColor="background1"/>
            </w:tcBorders>
          </w:tcPr>
          <w:p w:rsidR="0000631B" w:rsidRPr="006A1B52" w:rsidRDefault="0000631B" w:rsidP="005E5CB1">
            <w:pPr>
              <w:spacing w:after="0"/>
              <w:rPr>
                <w:rFonts w:asciiTheme="minorHAnsi" w:eastAsia="Times New Roman" w:hAnsiTheme="minorHAnsi" w:cstheme="minorHAnsi"/>
                <w:bCs w:val="0"/>
                <w:sz w:val="18"/>
                <w:szCs w:val="18"/>
                <w:lang w:eastAsia="en-AU"/>
              </w:rPr>
            </w:pPr>
          </w:p>
        </w:tc>
        <w:tc>
          <w:tcPr>
            <w:tcW w:w="4114" w:type="dxa"/>
            <w:gridSpan w:val="3"/>
            <w:tcBorders>
              <w:left w:val="single" w:sz="8" w:space="0" w:color="FFFFFF" w:themeColor="background1"/>
              <w:right w:val="single" w:sz="8" w:space="0" w:color="FFFFFF" w:themeColor="background1"/>
            </w:tcBorders>
          </w:tcPr>
          <w:p w:rsidR="0000631B" w:rsidRPr="006A1B52" w:rsidRDefault="0000631B" w:rsidP="005E5CB1">
            <w:pPr>
              <w:spacing w:after="0"/>
              <w:jc w:val="center"/>
              <w:rPr>
                <w:rFonts w:asciiTheme="minorHAnsi" w:eastAsia="Times New Roman" w:hAnsiTheme="minorHAnsi" w:cstheme="minorHAnsi"/>
                <w:bCs w:val="0"/>
                <w:sz w:val="18"/>
                <w:szCs w:val="18"/>
                <w:lang w:eastAsia="en-AU"/>
              </w:rPr>
            </w:pPr>
            <w:r w:rsidRPr="005F2ED1">
              <w:rPr>
                <w:rFonts w:asciiTheme="minorHAnsi" w:eastAsia="Times New Roman" w:hAnsiTheme="minorHAnsi" w:cstheme="minorHAnsi"/>
                <w:b w:val="0"/>
                <w:sz w:val="18"/>
                <w:szCs w:val="18"/>
                <w:lang w:eastAsia="en-AU"/>
              </w:rPr>
              <w:t>2015</w:t>
            </w:r>
          </w:p>
        </w:tc>
        <w:tc>
          <w:tcPr>
            <w:tcW w:w="4114" w:type="dxa"/>
            <w:gridSpan w:val="3"/>
            <w:tcBorders>
              <w:left w:val="single" w:sz="8" w:space="0" w:color="FFFFFF" w:themeColor="background1"/>
            </w:tcBorders>
          </w:tcPr>
          <w:p w:rsidR="0000631B" w:rsidRPr="006A1B52" w:rsidRDefault="0000631B" w:rsidP="005E5CB1">
            <w:pPr>
              <w:spacing w:after="0"/>
              <w:jc w:val="center"/>
              <w:rPr>
                <w:rFonts w:asciiTheme="minorHAnsi" w:eastAsia="Times New Roman" w:hAnsiTheme="minorHAnsi" w:cstheme="minorHAnsi"/>
                <w:bCs w:val="0"/>
                <w:sz w:val="18"/>
                <w:szCs w:val="18"/>
                <w:lang w:eastAsia="en-AU"/>
              </w:rPr>
            </w:pPr>
            <w:r w:rsidRPr="00B941FC">
              <w:rPr>
                <w:rFonts w:asciiTheme="minorHAnsi" w:eastAsia="Times New Roman" w:hAnsiTheme="minorHAnsi" w:cstheme="minorHAnsi"/>
                <w:b w:val="0"/>
                <w:sz w:val="18"/>
                <w:szCs w:val="18"/>
                <w:lang w:eastAsia="en-AU"/>
              </w:rPr>
              <w:t>2030</w:t>
            </w:r>
          </w:p>
        </w:tc>
      </w:tr>
      <w:tr w:rsidR="0000631B" w:rsidRPr="006A1B52" w:rsidTr="005E5CB1">
        <w:trPr>
          <w:cnfStyle w:val="000000100000" w:firstRow="0" w:lastRow="0" w:firstColumn="0" w:lastColumn="0" w:oddVBand="0" w:evenVBand="0" w:oddHBand="1" w:evenHBand="0" w:firstRowFirstColumn="0" w:firstRowLastColumn="0" w:lastRowFirstColumn="0" w:lastRowLastColumn="0"/>
        </w:trPr>
        <w:tc>
          <w:tcPr>
            <w:tcW w:w="1114" w:type="dxa"/>
            <w:tcBorders>
              <w:right w:val="single" w:sz="8" w:space="0" w:color="FFFFFF" w:themeColor="background1"/>
            </w:tcBorders>
            <w:shd w:val="clear" w:color="auto" w:fill="5B9BD5" w:themeFill="accent1"/>
            <w:hideMark/>
          </w:tcPr>
          <w:p w:rsidR="0000631B" w:rsidRPr="006A1B52" w:rsidRDefault="0000631B" w:rsidP="005E5CB1">
            <w:pPr>
              <w:spacing w:after="0"/>
              <w:rPr>
                <w:rFonts w:asciiTheme="minorHAnsi" w:eastAsia="Times New Roman" w:hAnsiTheme="minorHAnsi" w:cstheme="minorHAnsi"/>
                <w:bCs/>
                <w:color w:val="FFFFFF" w:themeColor="background1"/>
                <w:sz w:val="18"/>
                <w:szCs w:val="18"/>
                <w:lang w:eastAsia="en-AU"/>
              </w:rPr>
            </w:pPr>
          </w:p>
        </w:tc>
        <w:tc>
          <w:tcPr>
            <w:tcW w:w="1371" w:type="dxa"/>
            <w:tcBorders>
              <w:left w:val="single" w:sz="8" w:space="0" w:color="FFFFFF" w:themeColor="background1"/>
            </w:tcBorders>
            <w:shd w:val="clear" w:color="auto" w:fill="5B9BD5" w:themeFill="accent1"/>
            <w:hideMark/>
          </w:tcPr>
          <w:p w:rsidR="0000631B" w:rsidRPr="006A1B52" w:rsidRDefault="0000631B" w:rsidP="005E5CB1">
            <w:pPr>
              <w:spacing w:after="0"/>
              <w:jc w:val="center"/>
              <w:rPr>
                <w:rFonts w:asciiTheme="minorHAnsi" w:eastAsia="Times New Roman" w:hAnsiTheme="minorHAnsi" w:cstheme="minorHAnsi"/>
                <w:bCs/>
                <w:color w:val="FFFFFF" w:themeColor="background1"/>
                <w:sz w:val="18"/>
                <w:szCs w:val="18"/>
                <w:lang w:eastAsia="en-AU"/>
              </w:rPr>
            </w:pPr>
            <w:r w:rsidRPr="006A1B52">
              <w:rPr>
                <w:rFonts w:asciiTheme="minorHAnsi" w:eastAsia="Times New Roman" w:hAnsiTheme="minorHAnsi" w:cstheme="minorHAnsi"/>
                <w:bCs/>
                <w:color w:val="FFFFFF" w:themeColor="background1"/>
                <w:sz w:val="18"/>
                <w:szCs w:val="18"/>
                <w:lang w:eastAsia="en-AU"/>
              </w:rPr>
              <w:t>Early retirement due to ill health</w:t>
            </w:r>
          </w:p>
        </w:tc>
        <w:tc>
          <w:tcPr>
            <w:tcW w:w="1371" w:type="dxa"/>
            <w:shd w:val="clear" w:color="auto" w:fill="5B9BD5" w:themeFill="accent1"/>
            <w:hideMark/>
          </w:tcPr>
          <w:p w:rsidR="0000631B" w:rsidRPr="006A1B52" w:rsidRDefault="0000631B" w:rsidP="005E5CB1">
            <w:pPr>
              <w:spacing w:after="0"/>
              <w:jc w:val="center"/>
              <w:rPr>
                <w:rFonts w:asciiTheme="minorHAnsi" w:eastAsia="Times New Roman" w:hAnsiTheme="minorHAnsi" w:cstheme="minorHAnsi"/>
                <w:bCs/>
                <w:color w:val="FFFFFF" w:themeColor="background1"/>
                <w:sz w:val="18"/>
                <w:szCs w:val="18"/>
                <w:lang w:eastAsia="en-AU"/>
              </w:rPr>
            </w:pPr>
            <w:r w:rsidRPr="006A1B52">
              <w:rPr>
                <w:rFonts w:asciiTheme="minorHAnsi" w:eastAsia="Times New Roman" w:hAnsiTheme="minorHAnsi" w:cstheme="minorHAnsi"/>
                <w:bCs/>
                <w:color w:val="FFFFFF" w:themeColor="background1"/>
                <w:sz w:val="18"/>
                <w:szCs w:val="18"/>
                <w:lang w:eastAsia="en-AU"/>
              </w:rPr>
              <w:t xml:space="preserve">Absenteeism + </w:t>
            </w:r>
            <w:r>
              <w:rPr>
                <w:rFonts w:asciiTheme="minorHAnsi" w:eastAsia="Times New Roman" w:hAnsiTheme="minorHAnsi" w:cstheme="minorHAnsi"/>
                <w:bCs/>
                <w:color w:val="FFFFFF" w:themeColor="background1"/>
                <w:sz w:val="18"/>
                <w:szCs w:val="18"/>
                <w:lang w:eastAsia="en-AU"/>
              </w:rPr>
              <w:t>p</w:t>
            </w:r>
            <w:r w:rsidRPr="006A1B52">
              <w:rPr>
                <w:rFonts w:asciiTheme="minorHAnsi" w:eastAsia="Times New Roman" w:hAnsiTheme="minorHAnsi" w:cstheme="minorHAnsi"/>
                <w:bCs/>
                <w:color w:val="FFFFFF" w:themeColor="background1"/>
                <w:sz w:val="18"/>
                <w:szCs w:val="18"/>
                <w:lang w:eastAsia="en-AU"/>
              </w:rPr>
              <w:t>resenteeism</w:t>
            </w:r>
          </w:p>
        </w:tc>
        <w:tc>
          <w:tcPr>
            <w:tcW w:w="1372" w:type="dxa"/>
            <w:tcBorders>
              <w:right w:val="single" w:sz="8" w:space="0" w:color="FFFFFF" w:themeColor="background1"/>
            </w:tcBorders>
            <w:shd w:val="clear" w:color="auto" w:fill="5B9BD5" w:themeFill="accent1"/>
            <w:hideMark/>
          </w:tcPr>
          <w:p w:rsidR="0000631B" w:rsidRPr="006A1B52" w:rsidRDefault="0000631B" w:rsidP="005E5CB1">
            <w:pPr>
              <w:spacing w:after="0"/>
              <w:jc w:val="center"/>
              <w:rPr>
                <w:rFonts w:asciiTheme="minorHAnsi" w:eastAsia="Times New Roman" w:hAnsiTheme="minorHAnsi" w:cstheme="minorHAnsi"/>
                <w:bCs/>
                <w:color w:val="FFFFFF" w:themeColor="background1"/>
                <w:sz w:val="18"/>
                <w:szCs w:val="18"/>
                <w:lang w:eastAsia="en-AU"/>
              </w:rPr>
            </w:pPr>
            <w:r w:rsidRPr="006A1B52">
              <w:rPr>
                <w:rFonts w:asciiTheme="minorHAnsi" w:eastAsia="Times New Roman" w:hAnsiTheme="minorHAnsi" w:cstheme="minorHAnsi"/>
                <w:bCs/>
                <w:color w:val="FFFFFF" w:themeColor="background1"/>
                <w:sz w:val="18"/>
                <w:szCs w:val="18"/>
                <w:lang w:eastAsia="en-AU"/>
              </w:rPr>
              <w:t xml:space="preserve">Total </w:t>
            </w:r>
            <w:r>
              <w:rPr>
                <w:rFonts w:asciiTheme="minorHAnsi" w:eastAsia="Times New Roman" w:hAnsiTheme="minorHAnsi" w:cstheme="minorHAnsi"/>
                <w:bCs/>
                <w:color w:val="FFFFFF" w:themeColor="background1"/>
                <w:sz w:val="18"/>
                <w:szCs w:val="18"/>
                <w:lang w:eastAsia="en-AU"/>
              </w:rPr>
              <w:t>a</w:t>
            </w:r>
            <w:r w:rsidRPr="006A1B52">
              <w:rPr>
                <w:rFonts w:asciiTheme="minorHAnsi" w:eastAsia="Times New Roman" w:hAnsiTheme="minorHAnsi" w:cstheme="minorHAnsi"/>
                <w:bCs/>
                <w:color w:val="FFFFFF" w:themeColor="background1"/>
                <w:sz w:val="18"/>
                <w:szCs w:val="18"/>
                <w:lang w:eastAsia="en-AU"/>
              </w:rPr>
              <w:t xml:space="preserve">bsenteeism + </w:t>
            </w:r>
            <w:r>
              <w:rPr>
                <w:rFonts w:asciiTheme="minorHAnsi" w:eastAsia="Times New Roman" w:hAnsiTheme="minorHAnsi" w:cstheme="minorHAnsi"/>
                <w:bCs/>
                <w:color w:val="FFFFFF" w:themeColor="background1"/>
                <w:sz w:val="18"/>
                <w:szCs w:val="18"/>
                <w:lang w:eastAsia="en-AU"/>
              </w:rPr>
              <w:t>p</w:t>
            </w:r>
            <w:r w:rsidRPr="006A1B52">
              <w:rPr>
                <w:rFonts w:asciiTheme="minorHAnsi" w:eastAsia="Times New Roman" w:hAnsiTheme="minorHAnsi" w:cstheme="minorHAnsi"/>
                <w:bCs/>
                <w:color w:val="FFFFFF" w:themeColor="background1"/>
                <w:sz w:val="18"/>
                <w:szCs w:val="18"/>
                <w:lang w:eastAsia="en-AU"/>
              </w:rPr>
              <w:t>resenteeism + early retirement</w:t>
            </w:r>
          </w:p>
        </w:tc>
        <w:tc>
          <w:tcPr>
            <w:tcW w:w="1371" w:type="dxa"/>
            <w:tcBorders>
              <w:left w:val="single" w:sz="8" w:space="0" w:color="FFFFFF" w:themeColor="background1"/>
            </w:tcBorders>
            <w:shd w:val="clear" w:color="auto" w:fill="5B9BD5" w:themeFill="accent1"/>
            <w:hideMark/>
          </w:tcPr>
          <w:p w:rsidR="0000631B" w:rsidRPr="006A1B52" w:rsidRDefault="0000631B" w:rsidP="005E5CB1">
            <w:pPr>
              <w:spacing w:after="0"/>
              <w:jc w:val="center"/>
              <w:rPr>
                <w:rFonts w:asciiTheme="minorHAnsi" w:eastAsia="Times New Roman" w:hAnsiTheme="minorHAnsi" w:cstheme="minorHAnsi"/>
                <w:bCs/>
                <w:color w:val="FFFFFF" w:themeColor="background1"/>
                <w:sz w:val="18"/>
                <w:szCs w:val="18"/>
                <w:lang w:eastAsia="en-AU"/>
              </w:rPr>
            </w:pPr>
            <w:r w:rsidRPr="006A1B52">
              <w:rPr>
                <w:rFonts w:asciiTheme="minorHAnsi" w:eastAsia="Times New Roman" w:hAnsiTheme="minorHAnsi" w:cstheme="minorHAnsi"/>
                <w:bCs/>
                <w:color w:val="FFFFFF" w:themeColor="background1"/>
                <w:sz w:val="18"/>
                <w:szCs w:val="18"/>
                <w:lang w:eastAsia="en-AU"/>
              </w:rPr>
              <w:t>Early retirement due to ill health</w:t>
            </w:r>
          </w:p>
        </w:tc>
        <w:tc>
          <w:tcPr>
            <w:tcW w:w="1371" w:type="dxa"/>
            <w:shd w:val="clear" w:color="auto" w:fill="5B9BD5" w:themeFill="accent1"/>
            <w:hideMark/>
          </w:tcPr>
          <w:p w:rsidR="0000631B" w:rsidRPr="006A1B52" w:rsidRDefault="0000631B" w:rsidP="005E5CB1">
            <w:pPr>
              <w:spacing w:after="0"/>
              <w:jc w:val="center"/>
              <w:rPr>
                <w:rFonts w:asciiTheme="minorHAnsi" w:eastAsia="Times New Roman" w:hAnsiTheme="minorHAnsi" w:cstheme="minorHAnsi"/>
                <w:bCs/>
                <w:color w:val="FFFFFF" w:themeColor="background1"/>
                <w:sz w:val="18"/>
                <w:szCs w:val="18"/>
                <w:lang w:eastAsia="en-AU"/>
              </w:rPr>
            </w:pPr>
            <w:r w:rsidRPr="006A1B52">
              <w:rPr>
                <w:rFonts w:asciiTheme="minorHAnsi" w:eastAsia="Times New Roman" w:hAnsiTheme="minorHAnsi" w:cstheme="minorHAnsi"/>
                <w:bCs/>
                <w:color w:val="FFFFFF" w:themeColor="background1"/>
                <w:sz w:val="18"/>
                <w:szCs w:val="18"/>
                <w:lang w:eastAsia="en-AU"/>
              </w:rPr>
              <w:t xml:space="preserve">Absenteeism + </w:t>
            </w:r>
            <w:r>
              <w:rPr>
                <w:rFonts w:asciiTheme="minorHAnsi" w:eastAsia="Times New Roman" w:hAnsiTheme="minorHAnsi" w:cstheme="minorHAnsi"/>
                <w:bCs/>
                <w:color w:val="FFFFFF" w:themeColor="background1"/>
                <w:sz w:val="18"/>
                <w:szCs w:val="18"/>
                <w:lang w:eastAsia="en-AU"/>
              </w:rPr>
              <w:t>p</w:t>
            </w:r>
            <w:r w:rsidRPr="006A1B52">
              <w:rPr>
                <w:rFonts w:asciiTheme="minorHAnsi" w:eastAsia="Times New Roman" w:hAnsiTheme="minorHAnsi" w:cstheme="minorHAnsi"/>
                <w:bCs/>
                <w:color w:val="FFFFFF" w:themeColor="background1"/>
                <w:sz w:val="18"/>
                <w:szCs w:val="18"/>
                <w:lang w:eastAsia="en-AU"/>
              </w:rPr>
              <w:t>resenteeism</w:t>
            </w:r>
          </w:p>
        </w:tc>
        <w:tc>
          <w:tcPr>
            <w:tcW w:w="1372" w:type="dxa"/>
            <w:shd w:val="clear" w:color="auto" w:fill="5B9BD5" w:themeFill="accent1"/>
            <w:hideMark/>
          </w:tcPr>
          <w:p w:rsidR="0000631B" w:rsidRPr="006A1B52" w:rsidRDefault="0000631B" w:rsidP="005E5CB1">
            <w:pPr>
              <w:spacing w:after="0"/>
              <w:jc w:val="center"/>
              <w:rPr>
                <w:rFonts w:asciiTheme="minorHAnsi" w:eastAsia="Times New Roman" w:hAnsiTheme="minorHAnsi" w:cstheme="minorHAnsi"/>
                <w:bCs/>
                <w:color w:val="FFFFFF" w:themeColor="background1"/>
                <w:sz w:val="18"/>
                <w:szCs w:val="18"/>
                <w:lang w:eastAsia="en-AU"/>
              </w:rPr>
            </w:pPr>
            <w:r w:rsidRPr="006A1B52">
              <w:rPr>
                <w:rFonts w:asciiTheme="minorHAnsi" w:eastAsia="Times New Roman" w:hAnsiTheme="minorHAnsi" w:cstheme="minorHAnsi"/>
                <w:bCs/>
                <w:color w:val="FFFFFF" w:themeColor="background1"/>
                <w:sz w:val="18"/>
                <w:szCs w:val="18"/>
                <w:lang w:eastAsia="en-AU"/>
              </w:rPr>
              <w:t xml:space="preserve">Total </w:t>
            </w:r>
            <w:r>
              <w:rPr>
                <w:rFonts w:asciiTheme="minorHAnsi" w:eastAsia="Times New Roman" w:hAnsiTheme="minorHAnsi" w:cstheme="minorHAnsi"/>
                <w:bCs/>
                <w:color w:val="FFFFFF" w:themeColor="background1"/>
                <w:sz w:val="18"/>
                <w:szCs w:val="18"/>
                <w:lang w:eastAsia="en-AU"/>
              </w:rPr>
              <w:t>a</w:t>
            </w:r>
            <w:r w:rsidRPr="006A1B52">
              <w:rPr>
                <w:rFonts w:asciiTheme="minorHAnsi" w:eastAsia="Times New Roman" w:hAnsiTheme="minorHAnsi" w:cstheme="minorHAnsi"/>
                <w:bCs/>
                <w:color w:val="FFFFFF" w:themeColor="background1"/>
                <w:sz w:val="18"/>
                <w:szCs w:val="18"/>
                <w:lang w:eastAsia="en-AU"/>
              </w:rPr>
              <w:t xml:space="preserve">bsenteeism + </w:t>
            </w:r>
            <w:r>
              <w:rPr>
                <w:rFonts w:asciiTheme="minorHAnsi" w:eastAsia="Times New Roman" w:hAnsiTheme="minorHAnsi" w:cstheme="minorHAnsi"/>
                <w:bCs/>
                <w:color w:val="FFFFFF" w:themeColor="background1"/>
                <w:sz w:val="18"/>
                <w:szCs w:val="18"/>
                <w:lang w:eastAsia="en-AU"/>
              </w:rPr>
              <w:t>p</w:t>
            </w:r>
            <w:r w:rsidRPr="006A1B52">
              <w:rPr>
                <w:rFonts w:asciiTheme="minorHAnsi" w:eastAsia="Times New Roman" w:hAnsiTheme="minorHAnsi" w:cstheme="minorHAnsi"/>
                <w:bCs/>
                <w:color w:val="FFFFFF" w:themeColor="background1"/>
                <w:sz w:val="18"/>
                <w:szCs w:val="18"/>
                <w:lang w:eastAsia="en-AU"/>
              </w:rPr>
              <w:t>resenteeism + early retirement</w:t>
            </w:r>
          </w:p>
        </w:tc>
      </w:tr>
      <w:tr w:rsidR="0000631B" w:rsidRPr="006A1B52" w:rsidTr="005E5CB1">
        <w:tc>
          <w:tcPr>
            <w:tcW w:w="1114" w:type="dxa"/>
            <w:tcBorders>
              <w:right w:val="single" w:sz="8" w:space="0" w:color="5B9BD5" w:themeColor="accent1"/>
            </w:tcBorders>
            <w:noWrap/>
            <w:hideMark/>
          </w:tcPr>
          <w:p w:rsidR="0000631B" w:rsidRPr="006A1B52" w:rsidRDefault="0000631B" w:rsidP="005E5CB1">
            <w:pPr>
              <w:spacing w:after="0"/>
              <w:rPr>
                <w:rFonts w:asciiTheme="minorHAnsi" w:hAnsiTheme="minorHAnsi" w:cstheme="minorHAnsi"/>
                <w:sz w:val="18"/>
                <w:szCs w:val="18"/>
              </w:rPr>
            </w:pPr>
            <w:r w:rsidRPr="006A1B52">
              <w:rPr>
                <w:rFonts w:asciiTheme="minorHAnsi" w:hAnsiTheme="minorHAnsi" w:cstheme="minorHAnsi"/>
                <w:sz w:val="18"/>
                <w:szCs w:val="18"/>
              </w:rPr>
              <w:t>Jiangsu</w:t>
            </w:r>
          </w:p>
        </w:tc>
        <w:tc>
          <w:tcPr>
            <w:tcW w:w="1371" w:type="dxa"/>
            <w:tcBorders>
              <w:top w:val="single" w:sz="8" w:space="0" w:color="5B9BD5" w:themeColor="accent1"/>
              <w:left w:val="single" w:sz="8" w:space="0" w:color="5B9BD5" w:themeColor="accent1"/>
            </w:tcBorders>
            <w:hideMark/>
          </w:tcPr>
          <w:p w:rsidR="0000631B" w:rsidRPr="006A1B52" w:rsidRDefault="0000631B" w:rsidP="005E5CB1">
            <w:pPr>
              <w:spacing w:after="0"/>
              <w:jc w:val="center"/>
              <w:rPr>
                <w:rFonts w:asciiTheme="minorHAnsi" w:hAnsiTheme="minorHAnsi" w:cstheme="minorHAnsi"/>
                <w:sz w:val="18"/>
                <w:szCs w:val="18"/>
              </w:rPr>
            </w:pPr>
            <w:r w:rsidRPr="006A1B52">
              <w:rPr>
                <w:rFonts w:asciiTheme="minorHAnsi" w:hAnsiTheme="minorHAnsi" w:cstheme="minorHAnsi"/>
                <w:sz w:val="18"/>
                <w:szCs w:val="18"/>
              </w:rPr>
              <w:t>2.4%</w:t>
            </w:r>
          </w:p>
        </w:tc>
        <w:tc>
          <w:tcPr>
            <w:tcW w:w="1371" w:type="dxa"/>
            <w:hideMark/>
          </w:tcPr>
          <w:p w:rsidR="0000631B" w:rsidRPr="006A1B52" w:rsidRDefault="0000631B" w:rsidP="005E5CB1">
            <w:pPr>
              <w:spacing w:after="0"/>
              <w:jc w:val="center"/>
              <w:rPr>
                <w:rFonts w:asciiTheme="minorHAnsi" w:hAnsiTheme="minorHAnsi" w:cstheme="minorHAnsi"/>
                <w:sz w:val="18"/>
                <w:szCs w:val="18"/>
              </w:rPr>
            </w:pPr>
            <w:r w:rsidRPr="006A1B52">
              <w:rPr>
                <w:rFonts w:asciiTheme="minorHAnsi" w:hAnsiTheme="minorHAnsi" w:cstheme="minorHAnsi"/>
                <w:sz w:val="18"/>
                <w:szCs w:val="18"/>
              </w:rPr>
              <w:t>2.9%</w:t>
            </w:r>
          </w:p>
        </w:tc>
        <w:tc>
          <w:tcPr>
            <w:tcW w:w="1372" w:type="dxa"/>
            <w:tcBorders>
              <w:right w:val="single" w:sz="8" w:space="0" w:color="5B9BD5" w:themeColor="accent1"/>
            </w:tcBorders>
            <w:hideMark/>
          </w:tcPr>
          <w:p w:rsidR="0000631B" w:rsidRPr="006A1B52" w:rsidRDefault="0000631B" w:rsidP="005E5CB1">
            <w:pPr>
              <w:spacing w:after="0"/>
              <w:jc w:val="center"/>
              <w:rPr>
                <w:rFonts w:asciiTheme="minorHAnsi" w:hAnsiTheme="minorHAnsi" w:cstheme="minorHAnsi"/>
                <w:sz w:val="18"/>
                <w:szCs w:val="18"/>
              </w:rPr>
            </w:pPr>
            <w:r w:rsidRPr="006A1B52">
              <w:rPr>
                <w:rFonts w:asciiTheme="minorHAnsi" w:hAnsiTheme="minorHAnsi" w:cstheme="minorHAnsi"/>
                <w:sz w:val="18"/>
                <w:szCs w:val="18"/>
              </w:rPr>
              <w:t>5.3%</w:t>
            </w:r>
          </w:p>
        </w:tc>
        <w:tc>
          <w:tcPr>
            <w:tcW w:w="1371" w:type="dxa"/>
            <w:tcBorders>
              <w:top w:val="single" w:sz="8" w:space="0" w:color="5B9BD5" w:themeColor="accent1"/>
              <w:left w:val="single" w:sz="8" w:space="0" w:color="5B9BD5" w:themeColor="accent1"/>
            </w:tcBorders>
            <w:hideMark/>
          </w:tcPr>
          <w:p w:rsidR="0000631B" w:rsidRPr="006A1B52" w:rsidRDefault="0000631B" w:rsidP="005E5CB1">
            <w:pPr>
              <w:spacing w:after="0"/>
              <w:jc w:val="center"/>
              <w:rPr>
                <w:rFonts w:asciiTheme="minorHAnsi" w:hAnsiTheme="minorHAnsi" w:cstheme="minorHAnsi"/>
                <w:sz w:val="18"/>
                <w:szCs w:val="18"/>
              </w:rPr>
            </w:pPr>
            <w:r w:rsidRPr="006A1B52">
              <w:rPr>
                <w:rFonts w:asciiTheme="minorHAnsi" w:hAnsiTheme="minorHAnsi" w:cstheme="minorHAnsi"/>
                <w:sz w:val="18"/>
                <w:szCs w:val="18"/>
              </w:rPr>
              <w:t>3.1%</w:t>
            </w:r>
          </w:p>
        </w:tc>
        <w:tc>
          <w:tcPr>
            <w:tcW w:w="1371" w:type="dxa"/>
            <w:hideMark/>
          </w:tcPr>
          <w:p w:rsidR="0000631B" w:rsidRPr="006A1B52" w:rsidRDefault="0000631B" w:rsidP="005E5CB1">
            <w:pPr>
              <w:spacing w:after="0"/>
              <w:jc w:val="center"/>
              <w:rPr>
                <w:rFonts w:asciiTheme="minorHAnsi" w:hAnsiTheme="minorHAnsi" w:cstheme="minorHAnsi"/>
                <w:sz w:val="18"/>
                <w:szCs w:val="18"/>
              </w:rPr>
            </w:pPr>
            <w:r w:rsidRPr="006A1B52">
              <w:rPr>
                <w:rFonts w:asciiTheme="minorHAnsi" w:hAnsiTheme="minorHAnsi" w:cstheme="minorHAnsi"/>
                <w:sz w:val="18"/>
                <w:szCs w:val="18"/>
              </w:rPr>
              <w:t>3.2%</w:t>
            </w:r>
          </w:p>
        </w:tc>
        <w:tc>
          <w:tcPr>
            <w:tcW w:w="1372" w:type="dxa"/>
            <w:hideMark/>
          </w:tcPr>
          <w:p w:rsidR="0000631B" w:rsidRPr="006A1B52" w:rsidRDefault="0000631B" w:rsidP="005E5CB1">
            <w:pPr>
              <w:spacing w:after="0"/>
              <w:jc w:val="center"/>
              <w:rPr>
                <w:rFonts w:asciiTheme="minorHAnsi" w:hAnsiTheme="minorHAnsi" w:cstheme="minorHAnsi"/>
                <w:sz w:val="18"/>
                <w:szCs w:val="18"/>
              </w:rPr>
            </w:pPr>
            <w:r w:rsidRPr="006A1B52">
              <w:rPr>
                <w:rFonts w:asciiTheme="minorHAnsi" w:hAnsiTheme="minorHAnsi" w:cstheme="minorHAnsi"/>
                <w:sz w:val="18"/>
                <w:szCs w:val="18"/>
              </w:rPr>
              <w:t>6.3%</w:t>
            </w:r>
          </w:p>
        </w:tc>
      </w:tr>
      <w:tr w:rsidR="0000631B" w:rsidRPr="006A1B52" w:rsidTr="005E5CB1">
        <w:trPr>
          <w:cnfStyle w:val="000000100000" w:firstRow="0" w:lastRow="0" w:firstColumn="0" w:lastColumn="0" w:oddVBand="0" w:evenVBand="0" w:oddHBand="1" w:evenHBand="0" w:firstRowFirstColumn="0" w:firstRowLastColumn="0" w:lastRowFirstColumn="0" w:lastRowLastColumn="0"/>
        </w:trPr>
        <w:tc>
          <w:tcPr>
            <w:tcW w:w="1114" w:type="dxa"/>
            <w:tcBorders>
              <w:right w:val="single" w:sz="8" w:space="0" w:color="5B9BD5" w:themeColor="accent1"/>
            </w:tcBorders>
            <w:noWrap/>
            <w:hideMark/>
          </w:tcPr>
          <w:p w:rsidR="0000631B" w:rsidRPr="006A1B52" w:rsidRDefault="0000631B" w:rsidP="005E5CB1">
            <w:pPr>
              <w:spacing w:after="0"/>
              <w:rPr>
                <w:rFonts w:asciiTheme="minorHAnsi" w:hAnsiTheme="minorHAnsi" w:cstheme="minorHAnsi"/>
                <w:sz w:val="18"/>
                <w:szCs w:val="18"/>
              </w:rPr>
            </w:pPr>
            <w:r w:rsidRPr="006A1B52">
              <w:rPr>
                <w:rFonts w:asciiTheme="minorHAnsi" w:hAnsiTheme="minorHAnsi" w:cstheme="minorHAnsi"/>
                <w:sz w:val="18"/>
                <w:szCs w:val="18"/>
              </w:rPr>
              <w:t>China</w:t>
            </w:r>
          </w:p>
        </w:tc>
        <w:tc>
          <w:tcPr>
            <w:tcW w:w="1371" w:type="dxa"/>
            <w:tcBorders>
              <w:left w:val="single" w:sz="8" w:space="0" w:color="5B9BD5" w:themeColor="accent1"/>
            </w:tcBorders>
            <w:hideMark/>
          </w:tcPr>
          <w:p w:rsidR="0000631B" w:rsidRPr="006A1B52" w:rsidRDefault="0000631B" w:rsidP="005E5CB1">
            <w:pPr>
              <w:spacing w:after="0"/>
              <w:jc w:val="center"/>
              <w:rPr>
                <w:rFonts w:asciiTheme="minorHAnsi" w:hAnsiTheme="minorHAnsi" w:cstheme="minorHAnsi"/>
                <w:sz w:val="18"/>
                <w:szCs w:val="18"/>
              </w:rPr>
            </w:pPr>
            <w:r w:rsidRPr="006A1B52">
              <w:rPr>
                <w:rFonts w:asciiTheme="minorHAnsi" w:hAnsiTheme="minorHAnsi" w:cstheme="minorHAnsi"/>
                <w:sz w:val="18"/>
                <w:szCs w:val="18"/>
              </w:rPr>
              <w:t>2.1%</w:t>
            </w:r>
          </w:p>
        </w:tc>
        <w:tc>
          <w:tcPr>
            <w:tcW w:w="1371" w:type="dxa"/>
            <w:hideMark/>
          </w:tcPr>
          <w:p w:rsidR="0000631B" w:rsidRPr="006A1B52" w:rsidRDefault="0000631B" w:rsidP="005E5CB1">
            <w:pPr>
              <w:spacing w:after="0"/>
              <w:jc w:val="center"/>
              <w:rPr>
                <w:rFonts w:asciiTheme="minorHAnsi" w:hAnsiTheme="minorHAnsi" w:cstheme="minorHAnsi"/>
                <w:sz w:val="18"/>
                <w:szCs w:val="18"/>
              </w:rPr>
            </w:pPr>
            <w:r w:rsidRPr="006A1B52">
              <w:rPr>
                <w:rFonts w:asciiTheme="minorHAnsi" w:hAnsiTheme="minorHAnsi" w:cstheme="minorHAnsi"/>
                <w:sz w:val="18"/>
                <w:szCs w:val="18"/>
              </w:rPr>
              <w:t>3.3%</w:t>
            </w:r>
          </w:p>
        </w:tc>
        <w:tc>
          <w:tcPr>
            <w:tcW w:w="1372" w:type="dxa"/>
            <w:tcBorders>
              <w:right w:val="single" w:sz="8" w:space="0" w:color="5B9BD5" w:themeColor="accent1"/>
            </w:tcBorders>
            <w:hideMark/>
          </w:tcPr>
          <w:p w:rsidR="0000631B" w:rsidRPr="006A1B52" w:rsidRDefault="0000631B" w:rsidP="005E5CB1">
            <w:pPr>
              <w:spacing w:after="0"/>
              <w:jc w:val="center"/>
              <w:rPr>
                <w:rFonts w:asciiTheme="minorHAnsi" w:hAnsiTheme="minorHAnsi" w:cstheme="minorHAnsi"/>
                <w:sz w:val="18"/>
                <w:szCs w:val="18"/>
              </w:rPr>
            </w:pPr>
            <w:r w:rsidRPr="006A1B52">
              <w:rPr>
                <w:rFonts w:asciiTheme="minorHAnsi" w:hAnsiTheme="minorHAnsi" w:cstheme="minorHAnsi"/>
                <w:sz w:val="18"/>
                <w:szCs w:val="18"/>
              </w:rPr>
              <w:t>5.4%</w:t>
            </w:r>
          </w:p>
        </w:tc>
        <w:tc>
          <w:tcPr>
            <w:tcW w:w="1371" w:type="dxa"/>
            <w:tcBorders>
              <w:left w:val="single" w:sz="8" w:space="0" w:color="5B9BD5" w:themeColor="accent1"/>
            </w:tcBorders>
            <w:hideMark/>
          </w:tcPr>
          <w:p w:rsidR="0000631B" w:rsidRPr="006A1B52" w:rsidRDefault="0000631B" w:rsidP="005E5CB1">
            <w:pPr>
              <w:spacing w:after="0"/>
              <w:jc w:val="center"/>
              <w:rPr>
                <w:rFonts w:asciiTheme="minorHAnsi" w:hAnsiTheme="minorHAnsi" w:cstheme="minorHAnsi"/>
                <w:sz w:val="18"/>
                <w:szCs w:val="18"/>
              </w:rPr>
            </w:pPr>
            <w:r w:rsidRPr="006A1B52">
              <w:rPr>
                <w:rFonts w:asciiTheme="minorHAnsi" w:hAnsiTheme="minorHAnsi" w:cstheme="minorHAnsi"/>
                <w:sz w:val="18"/>
                <w:szCs w:val="18"/>
              </w:rPr>
              <w:t>2.8%</w:t>
            </w:r>
          </w:p>
        </w:tc>
        <w:tc>
          <w:tcPr>
            <w:tcW w:w="1371" w:type="dxa"/>
            <w:hideMark/>
          </w:tcPr>
          <w:p w:rsidR="0000631B" w:rsidRPr="006A1B52" w:rsidRDefault="0000631B" w:rsidP="005E5CB1">
            <w:pPr>
              <w:spacing w:after="0"/>
              <w:jc w:val="center"/>
              <w:rPr>
                <w:rFonts w:asciiTheme="minorHAnsi" w:hAnsiTheme="minorHAnsi" w:cstheme="minorHAnsi"/>
                <w:sz w:val="18"/>
                <w:szCs w:val="18"/>
              </w:rPr>
            </w:pPr>
            <w:r w:rsidRPr="006A1B52">
              <w:rPr>
                <w:rFonts w:asciiTheme="minorHAnsi" w:hAnsiTheme="minorHAnsi" w:cstheme="minorHAnsi"/>
                <w:sz w:val="18"/>
                <w:szCs w:val="18"/>
              </w:rPr>
              <w:t>3.7%</w:t>
            </w:r>
          </w:p>
        </w:tc>
        <w:tc>
          <w:tcPr>
            <w:tcW w:w="1372" w:type="dxa"/>
            <w:hideMark/>
          </w:tcPr>
          <w:p w:rsidR="0000631B" w:rsidRPr="006A1B52" w:rsidRDefault="0000631B" w:rsidP="005E5CB1">
            <w:pPr>
              <w:spacing w:after="0"/>
              <w:jc w:val="center"/>
              <w:rPr>
                <w:rFonts w:asciiTheme="minorHAnsi" w:hAnsiTheme="minorHAnsi" w:cstheme="minorHAnsi"/>
                <w:sz w:val="18"/>
                <w:szCs w:val="18"/>
              </w:rPr>
            </w:pPr>
            <w:r w:rsidRPr="006A1B52">
              <w:rPr>
                <w:rFonts w:asciiTheme="minorHAnsi" w:hAnsiTheme="minorHAnsi" w:cstheme="minorHAnsi"/>
                <w:sz w:val="18"/>
                <w:szCs w:val="18"/>
              </w:rPr>
              <w:t>6.5%</w:t>
            </w:r>
          </w:p>
        </w:tc>
      </w:tr>
      <w:tr w:rsidR="0000631B" w:rsidRPr="006A1B52" w:rsidTr="005E5CB1">
        <w:tc>
          <w:tcPr>
            <w:tcW w:w="1114" w:type="dxa"/>
            <w:tcBorders>
              <w:right w:val="single" w:sz="8" w:space="0" w:color="5B9BD5" w:themeColor="accent1"/>
            </w:tcBorders>
            <w:noWrap/>
            <w:hideMark/>
          </w:tcPr>
          <w:p w:rsidR="0000631B" w:rsidRPr="006A1B52" w:rsidRDefault="0000631B" w:rsidP="005E5CB1">
            <w:pPr>
              <w:spacing w:after="0"/>
              <w:rPr>
                <w:rFonts w:asciiTheme="minorHAnsi" w:hAnsiTheme="minorHAnsi" w:cstheme="minorHAnsi"/>
                <w:sz w:val="18"/>
                <w:szCs w:val="18"/>
              </w:rPr>
            </w:pPr>
            <w:r w:rsidRPr="006A1B52">
              <w:rPr>
                <w:rFonts w:asciiTheme="minorHAnsi" w:hAnsiTheme="minorHAnsi" w:cstheme="minorHAnsi"/>
                <w:sz w:val="18"/>
                <w:szCs w:val="18"/>
              </w:rPr>
              <w:t>Brazil</w:t>
            </w:r>
          </w:p>
        </w:tc>
        <w:tc>
          <w:tcPr>
            <w:tcW w:w="1371" w:type="dxa"/>
            <w:tcBorders>
              <w:left w:val="single" w:sz="8" w:space="0" w:color="5B9BD5" w:themeColor="accent1"/>
            </w:tcBorders>
            <w:hideMark/>
          </w:tcPr>
          <w:p w:rsidR="0000631B" w:rsidRPr="006A1B52" w:rsidRDefault="0000631B" w:rsidP="005E5CB1">
            <w:pPr>
              <w:spacing w:after="0"/>
              <w:jc w:val="center"/>
              <w:rPr>
                <w:rFonts w:asciiTheme="minorHAnsi" w:hAnsiTheme="minorHAnsi" w:cstheme="minorHAnsi"/>
                <w:sz w:val="18"/>
                <w:szCs w:val="18"/>
              </w:rPr>
            </w:pPr>
            <w:r w:rsidRPr="006A1B52">
              <w:rPr>
                <w:rFonts w:asciiTheme="minorHAnsi" w:hAnsiTheme="minorHAnsi" w:cstheme="minorHAnsi"/>
                <w:sz w:val="18"/>
                <w:szCs w:val="18"/>
              </w:rPr>
              <w:t>2.2%</w:t>
            </w:r>
          </w:p>
        </w:tc>
        <w:tc>
          <w:tcPr>
            <w:tcW w:w="1371" w:type="dxa"/>
            <w:hideMark/>
          </w:tcPr>
          <w:p w:rsidR="0000631B" w:rsidRPr="006A1B52" w:rsidRDefault="0000631B" w:rsidP="005E5CB1">
            <w:pPr>
              <w:spacing w:after="0"/>
              <w:jc w:val="center"/>
              <w:rPr>
                <w:rFonts w:asciiTheme="minorHAnsi" w:hAnsiTheme="minorHAnsi" w:cstheme="minorHAnsi"/>
                <w:sz w:val="18"/>
                <w:szCs w:val="18"/>
              </w:rPr>
            </w:pPr>
            <w:r w:rsidRPr="006A1B52">
              <w:rPr>
                <w:rFonts w:asciiTheme="minorHAnsi" w:hAnsiTheme="minorHAnsi" w:cstheme="minorHAnsi"/>
                <w:sz w:val="18"/>
                <w:szCs w:val="18"/>
              </w:rPr>
              <w:t>5.1%</w:t>
            </w:r>
          </w:p>
        </w:tc>
        <w:tc>
          <w:tcPr>
            <w:tcW w:w="1372" w:type="dxa"/>
            <w:tcBorders>
              <w:right w:val="single" w:sz="8" w:space="0" w:color="5B9BD5" w:themeColor="accent1"/>
            </w:tcBorders>
            <w:hideMark/>
          </w:tcPr>
          <w:p w:rsidR="0000631B" w:rsidRPr="006A1B52" w:rsidRDefault="0000631B" w:rsidP="005E5CB1">
            <w:pPr>
              <w:spacing w:after="0"/>
              <w:jc w:val="center"/>
              <w:rPr>
                <w:rFonts w:asciiTheme="minorHAnsi" w:hAnsiTheme="minorHAnsi" w:cstheme="minorHAnsi"/>
                <w:sz w:val="18"/>
                <w:szCs w:val="18"/>
              </w:rPr>
            </w:pPr>
            <w:r w:rsidRPr="006A1B52">
              <w:rPr>
                <w:rFonts w:asciiTheme="minorHAnsi" w:hAnsiTheme="minorHAnsi" w:cstheme="minorHAnsi"/>
                <w:sz w:val="18"/>
                <w:szCs w:val="18"/>
              </w:rPr>
              <w:t>7.3%</w:t>
            </w:r>
          </w:p>
        </w:tc>
        <w:tc>
          <w:tcPr>
            <w:tcW w:w="1371" w:type="dxa"/>
            <w:tcBorders>
              <w:left w:val="single" w:sz="8" w:space="0" w:color="5B9BD5" w:themeColor="accent1"/>
            </w:tcBorders>
            <w:hideMark/>
          </w:tcPr>
          <w:p w:rsidR="0000631B" w:rsidRPr="006A1B52" w:rsidRDefault="0000631B" w:rsidP="005E5CB1">
            <w:pPr>
              <w:spacing w:after="0"/>
              <w:jc w:val="center"/>
              <w:rPr>
                <w:rFonts w:asciiTheme="minorHAnsi" w:hAnsiTheme="minorHAnsi" w:cstheme="minorHAnsi"/>
                <w:sz w:val="18"/>
                <w:szCs w:val="18"/>
              </w:rPr>
            </w:pPr>
            <w:r w:rsidRPr="006A1B52">
              <w:rPr>
                <w:rFonts w:asciiTheme="minorHAnsi" w:hAnsiTheme="minorHAnsi" w:cstheme="minorHAnsi"/>
                <w:sz w:val="18"/>
                <w:szCs w:val="18"/>
              </w:rPr>
              <w:t>3.0%</w:t>
            </w:r>
          </w:p>
        </w:tc>
        <w:tc>
          <w:tcPr>
            <w:tcW w:w="1371" w:type="dxa"/>
            <w:hideMark/>
          </w:tcPr>
          <w:p w:rsidR="0000631B" w:rsidRPr="006A1B52" w:rsidRDefault="0000631B" w:rsidP="005E5CB1">
            <w:pPr>
              <w:spacing w:after="0"/>
              <w:jc w:val="center"/>
              <w:rPr>
                <w:rFonts w:asciiTheme="minorHAnsi" w:hAnsiTheme="minorHAnsi" w:cstheme="minorHAnsi"/>
                <w:sz w:val="18"/>
                <w:szCs w:val="18"/>
              </w:rPr>
            </w:pPr>
            <w:r w:rsidRPr="006A1B52">
              <w:rPr>
                <w:rFonts w:asciiTheme="minorHAnsi" w:hAnsiTheme="minorHAnsi" w:cstheme="minorHAnsi"/>
                <w:sz w:val="18"/>
                <w:szCs w:val="18"/>
              </w:rPr>
              <w:t>4.5%</w:t>
            </w:r>
          </w:p>
        </w:tc>
        <w:tc>
          <w:tcPr>
            <w:tcW w:w="1372" w:type="dxa"/>
            <w:hideMark/>
          </w:tcPr>
          <w:p w:rsidR="0000631B" w:rsidRPr="006A1B52" w:rsidRDefault="0000631B" w:rsidP="005E5CB1">
            <w:pPr>
              <w:spacing w:after="0"/>
              <w:jc w:val="center"/>
              <w:rPr>
                <w:rFonts w:asciiTheme="minorHAnsi" w:hAnsiTheme="minorHAnsi" w:cstheme="minorHAnsi"/>
                <w:sz w:val="18"/>
                <w:szCs w:val="18"/>
              </w:rPr>
            </w:pPr>
            <w:r w:rsidRPr="006A1B52">
              <w:rPr>
                <w:rFonts w:asciiTheme="minorHAnsi" w:hAnsiTheme="minorHAnsi" w:cstheme="minorHAnsi"/>
                <w:sz w:val="18"/>
                <w:szCs w:val="18"/>
              </w:rPr>
              <w:t>7.5%</w:t>
            </w:r>
          </w:p>
        </w:tc>
      </w:tr>
      <w:tr w:rsidR="0000631B" w:rsidRPr="006A1B52" w:rsidTr="005E5CB1">
        <w:trPr>
          <w:cnfStyle w:val="000000100000" w:firstRow="0" w:lastRow="0" w:firstColumn="0" w:lastColumn="0" w:oddVBand="0" w:evenVBand="0" w:oddHBand="1" w:evenHBand="0" w:firstRowFirstColumn="0" w:firstRowLastColumn="0" w:lastRowFirstColumn="0" w:lastRowLastColumn="0"/>
        </w:trPr>
        <w:tc>
          <w:tcPr>
            <w:tcW w:w="1114" w:type="dxa"/>
            <w:tcBorders>
              <w:right w:val="single" w:sz="8" w:space="0" w:color="5B9BD5" w:themeColor="accent1"/>
            </w:tcBorders>
            <w:noWrap/>
            <w:hideMark/>
          </w:tcPr>
          <w:p w:rsidR="0000631B" w:rsidRPr="006A1B52" w:rsidRDefault="0000631B" w:rsidP="005E5CB1">
            <w:pPr>
              <w:spacing w:after="0"/>
              <w:rPr>
                <w:rFonts w:asciiTheme="minorHAnsi" w:hAnsiTheme="minorHAnsi" w:cstheme="minorHAnsi"/>
                <w:sz w:val="18"/>
                <w:szCs w:val="18"/>
              </w:rPr>
            </w:pPr>
            <w:r w:rsidRPr="006A1B52">
              <w:rPr>
                <w:rFonts w:asciiTheme="minorHAnsi" w:hAnsiTheme="minorHAnsi" w:cstheme="minorHAnsi"/>
                <w:sz w:val="18"/>
                <w:szCs w:val="18"/>
              </w:rPr>
              <w:t>India</w:t>
            </w:r>
          </w:p>
        </w:tc>
        <w:tc>
          <w:tcPr>
            <w:tcW w:w="1371" w:type="dxa"/>
            <w:tcBorders>
              <w:left w:val="single" w:sz="8" w:space="0" w:color="5B9BD5" w:themeColor="accent1"/>
            </w:tcBorders>
            <w:hideMark/>
          </w:tcPr>
          <w:p w:rsidR="0000631B" w:rsidRPr="006A1B52" w:rsidRDefault="0000631B" w:rsidP="005E5CB1">
            <w:pPr>
              <w:spacing w:after="0"/>
              <w:jc w:val="center"/>
              <w:rPr>
                <w:rFonts w:asciiTheme="minorHAnsi" w:hAnsiTheme="minorHAnsi" w:cstheme="minorHAnsi"/>
                <w:sz w:val="18"/>
                <w:szCs w:val="18"/>
              </w:rPr>
            </w:pPr>
            <w:r w:rsidRPr="006A1B52">
              <w:rPr>
                <w:rFonts w:asciiTheme="minorHAnsi" w:hAnsiTheme="minorHAnsi" w:cstheme="minorHAnsi"/>
                <w:sz w:val="18"/>
                <w:szCs w:val="18"/>
              </w:rPr>
              <w:t>2.5%</w:t>
            </w:r>
          </w:p>
        </w:tc>
        <w:tc>
          <w:tcPr>
            <w:tcW w:w="1371" w:type="dxa"/>
            <w:hideMark/>
          </w:tcPr>
          <w:p w:rsidR="0000631B" w:rsidRPr="006A1B52" w:rsidRDefault="0000631B" w:rsidP="005E5CB1">
            <w:pPr>
              <w:spacing w:after="0"/>
              <w:jc w:val="center"/>
              <w:rPr>
                <w:rFonts w:asciiTheme="minorHAnsi" w:hAnsiTheme="minorHAnsi" w:cstheme="minorHAnsi"/>
                <w:sz w:val="18"/>
                <w:szCs w:val="18"/>
              </w:rPr>
            </w:pPr>
            <w:r w:rsidRPr="006A1B52">
              <w:rPr>
                <w:rFonts w:asciiTheme="minorHAnsi" w:hAnsiTheme="minorHAnsi" w:cstheme="minorHAnsi"/>
                <w:sz w:val="18"/>
                <w:szCs w:val="18"/>
              </w:rPr>
              <w:t>4.6%</w:t>
            </w:r>
          </w:p>
        </w:tc>
        <w:tc>
          <w:tcPr>
            <w:tcW w:w="1372" w:type="dxa"/>
            <w:tcBorders>
              <w:right w:val="single" w:sz="8" w:space="0" w:color="5B9BD5" w:themeColor="accent1"/>
            </w:tcBorders>
            <w:hideMark/>
          </w:tcPr>
          <w:p w:rsidR="0000631B" w:rsidRPr="006A1B52" w:rsidRDefault="0000631B" w:rsidP="005E5CB1">
            <w:pPr>
              <w:spacing w:after="0"/>
              <w:jc w:val="center"/>
              <w:rPr>
                <w:rFonts w:asciiTheme="minorHAnsi" w:hAnsiTheme="minorHAnsi" w:cstheme="minorHAnsi"/>
                <w:sz w:val="18"/>
                <w:szCs w:val="18"/>
              </w:rPr>
            </w:pPr>
            <w:r w:rsidRPr="006A1B52">
              <w:rPr>
                <w:rFonts w:asciiTheme="minorHAnsi" w:hAnsiTheme="minorHAnsi" w:cstheme="minorHAnsi"/>
                <w:sz w:val="18"/>
                <w:szCs w:val="18"/>
              </w:rPr>
              <w:t>7.1%</w:t>
            </w:r>
          </w:p>
        </w:tc>
        <w:tc>
          <w:tcPr>
            <w:tcW w:w="1371" w:type="dxa"/>
            <w:tcBorders>
              <w:left w:val="single" w:sz="8" w:space="0" w:color="5B9BD5" w:themeColor="accent1"/>
            </w:tcBorders>
            <w:hideMark/>
          </w:tcPr>
          <w:p w:rsidR="0000631B" w:rsidRPr="006A1B52" w:rsidRDefault="0000631B" w:rsidP="005E5CB1">
            <w:pPr>
              <w:spacing w:after="0"/>
              <w:jc w:val="center"/>
              <w:rPr>
                <w:rFonts w:asciiTheme="minorHAnsi" w:hAnsiTheme="minorHAnsi" w:cstheme="minorHAnsi"/>
                <w:sz w:val="18"/>
                <w:szCs w:val="18"/>
              </w:rPr>
            </w:pPr>
            <w:r w:rsidRPr="006A1B52">
              <w:rPr>
                <w:rFonts w:asciiTheme="minorHAnsi" w:hAnsiTheme="minorHAnsi" w:cstheme="minorHAnsi"/>
                <w:sz w:val="18"/>
                <w:szCs w:val="18"/>
              </w:rPr>
              <w:t>2.9%</w:t>
            </w:r>
          </w:p>
        </w:tc>
        <w:tc>
          <w:tcPr>
            <w:tcW w:w="1371" w:type="dxa"/>
            <w:hideMark/>
          </w:tcPr>
          <w:p w:rsidR="0000631B" w:rsidRPr="006A1B52" w:rsidRDefault="0000631B" w:rsidP="005E5CB1">
            <w:pPr>
              <w:spacing w:after="0"/>
              <w:jc w:val="center"/>
              <w:rPr>
                <w:rFonts w:asciiTheme="minorHAnsi" w:hAnsiTheme="minorHAnsi" w:cstheme="minorHAnsi"/>
                <w:sz w:val="18"/>
                <w:szCs w:val="18"/>
              </w:rPr>
            </w:pPr>
            <w:r w:rsidRPr="006A1B52">
              <w:rPr>
                <w:rFonts w:asciiTheme="minorHAnsi" w:hAnsiTheme="minorHAnsi" w:cstheme="minorHAnsi"/>
                <w:sz w:val="18"/>
                <w:szCs w:val="18"/>
              </w:rPr>
              <w:t>4.8%</w:t>
            </w:r>
          </w:p>
        </w:tc>
        <w:tc>
          <w:tcPr>
            <w:tcW w:w="1372" w:type="dxa"/>
            <w:hideMark/>
          </w:tcPr>
          <w:p w:rsidR="0000631B" w:rsidRPr="006A1B52" w:rsidRDefault="0000631B" w:rsidP="005E5CB1">
            <w:pPr>
              <w:spacing w:after="0"/>
              <w:jc w:val="center"/>
              <w:rPr>
                <w:rFonts w:asciiTheme="minorHAnsi" w:hAnsiTheme="minorHAnsi" w:cstheme="minorHAnsi"/>
                <w:sz w:val="18"/>
                <w:szCs w:val="18"/>
              </w:rPr>
            </w:pPr>
            <w:r w:rsidRPr="006A1B52">
              <w:rPr>
                <w:rFonts w:asciiTheme="minorHAnsi" w:hAnsiTheme="minorHAnsi" w:cstheme="minorHAnsi"/>
                <w:sz w:val="18"/>
                <w:szCs w:val="18"/>
              </w:rPr>
              <w:t>7.7%</w:t>
            </w:r>
          </w:p>
        </w:tc>
      </w:tr>
      <w:tr w:rsidR="0000631B" w:rsidRPr="006A1B52" w:rsidTr="005E5CB1">
        <w:tc>
          <w:tcPr>
            <w:tcW w:w="1114" w:type="dxa"/>
            <w:tcBorders>
              <w:right w:val="single" w:sz="8" w:space="0" w:color="5B9BD5" w:themeColor="accent1"/>
            </w:tcBorders>
            <w:noWrap/>
            <w:hideMark/>
          </w:tcPr>
          <w:p w:rsidR="0000631B" w:rsidRPr="006A1B52" w:rsidRDefault="0000631B" w:rsidP="005E5CB1">
            <w:pPr>
              <w:spacing w:after="0"/>
              <w:rPr>
                <w:rFonts w:asciiTheme="minorHAnsi" w:hAnsiTheme="minorHAnsi" w:cstheme="minorHAnsi"/>
                <w:sz w:val="18"/>
                <w:szCs w:val="18"/>
              </w:rPr>
            </w:pPr>
            <w:r w:rsidRPr="006A1B52">
              <w:rPr>
                <w:rFonts w:asciiTheme="minorHAnsi" w:hAnsiTheme="minorHAnsi" w:cstheme="minorHAnsi"/>
                <w:sz w:val="18"/>
                <w:szCs w:val="18"/>
              </w:rPr>
              <w:t>Indonesia</w:t>
            </w:r>
          </w:p>
        </w:tc>
        <w:tc>
          <w:tcPr>
            <w:tcW w:w="1371" w:type="dxa"/>
            <w:tcBorders>
              <w:left w:val="single" w:sz="8" w:space="0" w:color="5B9BD5" w:themeColor="accent1"/>
            </w:tcBorders>
            <w:hideMark/>
          </w:tcPr>
          <w:p w:rsidR="0000631B" w:rsidRPr="006A1B52" w:rsidRDefault="0000631B" w:rsidP="005E5CB1">
            <w:pPr>
              <w:spacing w:after="0"/>
              <w:jc w:val="center"/>
              <w:rPr>
                <w:rFonts w:asciiTheme="minorHAnsi" w:hAnsiTheme="minorHAnsi" w:cstheme="minorHAnsi"/>
                <w:sz w:val="18"/>
                <w:szCs w:val="18"/>
              </w:rPr>
            </w:pPr>
            <w:r w:rsidRPr="006A1B52">
              <w:rPr>
                <w:rFonts w:asciiTheme="minorHAnsi" w:hAnsiTheme="minorHAnsi" w:cstheme="minorHAnsi"/>
                <w:sz w:val="18"/>
                <w:szCs w:val="18"/>
              </w:rPr>
              <w:t>1.9%</w:t>
            </w:r>
          </w:p>
        </w:tc>
        <w:tc>
          <w:tcPr>
            <w:tcW w:w="1371" w:type="dxa"/>
            <w:hideMark/>
          </w:tcPr>
          <w:p w:rsidR="0000631B" w:rsidRPr="006A1B52" w:rsidRDefault="0000631B" w:rsidP="005E5CB1">
            <w:pPr>
              <w:spacing w:after="0"/>
              <w:jc w:val="center"/>
              <w:rPr>
                <w:rFonts w:asciiTheme="minorHAnsi" w:hAnsiTheme="minorHAnsi" w:cstheme="minorHAnsi"/>
                <w:sz w:val="18"/>
                <w:szCs w:val="18"/>
              </w:rPr>
            </w:pPr>
            <w:r w:rsidRPr="006A1B52">
              <w:rPr>
                <w:rFonts w:asciiTheme="minorHAnsi" w:hAnsiTheme="minorHAnsi" w:cstheme="minorHAnsi"/>
                <w:sz w:val="18"/>
                <w:szCs w:val="18"/>
              </w:rPr>
              <w:t>4.6%</w:t>
            </w:r>
          </w:p>
        </w:tc>
        <w:tc>
          <w:tcPr>
            <w:tcW w:w="1372" w:type="dxa"/>
            <w:tcBorders>
              <w:right w:val="single" w:sz="8" w:space="0" w:color="5B9BD5" w:themeColor="accent1"/>
            </w:tcBorders>
            <w:hideMark/>
          </w:tcPr>
          <w:p w:rsidR="0000631B" w:rsidRPr="006A1B52" w:rsidRDefault="0000631B" w:rsidP="005E5CB1">
            <w:pPr>
              <w:spacing w:after="0"/>
              <w:jc w:val="center"/>
              <w:rPr>
                <w:rFonts w:asciiTheme="minorHAnsi" w:hAnsiTheme="minorHAnsi" w:cstheme="minorHAnsi"/>
                <w:sz w:val="18"/>
                <w:szCs w:val="18"/>
              </w:rPr>
            </w:pPr>
            <w:r w:rsidRPr="006A1B52">
              <w:rPr>
                <w:rFonts w:asciiTheme="minorHAnsi" w:hAnsiTheme="minorHAnsi" w:cstheme="minorHAnsi"/>
                <w:sz w:val="18"/>
                <w:szCs w:val="18"/>
              </w:rPr>
              <w:t>6.5%</w:t>
            </w:r>
          </w:p>
        </w:tc>
        <w:tc>
          <w:tcPr>
            <w:tcW w:w="1371" w:type="dxa"/>
            <w:tcBorders>
              <w:left w:val="single" w:sz="8" w:space="0" w:color="5B9BD5" w:themeColor="accent1"/>
            </w:tcBorders>
            <w:hideMark/>
          </w:tcPr>
          <w:p w:rsidR="0000631B" w:rsidRPr="006A1B52" w:rsidRDefault="0000631B" w:rsidP="005E5CB1">
            <w:pPr>
              <w:spacing w:after="0"/>
              <w:jc w:val="center"/>
              <w:rPr>
                <w:rFonts w:asciiTheme="minorHAnsi" w:hAnsiTheme="minorHAnsi" w:cstheme="minorHAnsi"/>
                <w:sz w:val="18"/>
                <w:szCs w:val="18"/>
              </w:rPr>
            </w:pPr>
            <w:r w:rsidRPr="006A1B52">
              <w:rPr>
                <w:rFonts w:asciiTheme="minorHAnsi" w:hAnsiTheme="minorHAnsi" w:cstheme="minorHAnsi"/>
                <w:sz w:val="18"/>
                <w:szCs w:val="18"/>
              </w:rPr>
              <w:t>2.4%</w:t>
            </w:r>
          </w:p>
        </w:tc>
        <w:tc>
          <w:tcPr>
            <w:tcW w:w="1371" w:type="dxa"/>
            <w:hideMark/>
          </w:tcPr>
          <w:p w:rsidR="0000631B" w:rsidRPr="006A1B52" w:rsidRDefault="0000631B" w:rsidP="005E5CB1">
            <w:pPr>
              <w:spacing w:after="0"/>
              <w:jc w:val="center"/>
              <w:rPr>
                <w:rFonts w:asciiTheme="minorHAnsi" w:hAnsiTheme="minorHAnsi" w:cstheme="minorHAnsi"/>
                <w:sz w:val="18"/>
                <w:szCs w:val="18"/>
              </w:rPr>
            </w:pPr>
            <w:r w:rsidRPr="006A1B52">
              <w:rPr>
                <w:rFonts w:asciiTheme="minorHAnsi" w:hAnsiTheme="minorHAnsi" w:cstheme="minorHAnsi"/>
                <w:sz w:val="18"/>
                <w:szCs w:val="18"/>
              </w:rPr>
              <w:t>4.8%</w:t>
            </w:r>
          </w:p>
        </w:tc>
        <w:tc>
          <w:tcPr>
            <w:tcW w:w="1372" w:type="dxa"/>
            <w:hideMark/>
          </w:tcPr>
          <w:p w:rsidR="0000631B" w:rsidRPr="006A1B52" w:rsidRDefault="0000631B" w:rsidP="005E5CB1">
            <w:pPr>
              <w:spacing w:after="0"/>
              <w:jc w:val="center"/>
              <w:rPr>
                <w:rFonts w:asciiTheme="minorHAnsi" w:hAnsiTheme="minorHAnsi" w:cstheme="minorHAnsi"/>
                <w:sz w:val="18"/>
                <w:szCs w:val="18"/>
              </w:rPr>
            </w:pPr>
            <w:r w:rsidRPr="006A1B52">
              <w:rPr>
                <w:rFonts w:asciiTheme="minorHAnsi" w:hAnsiTheme="minorHAnsi" w:cstheme="minorHAnsi"/>
                <w:sz w:val="18"/>
                <w:szCs w:val="18"/>
              </w:rPr>
              <w:t>7.2%</w:t>
            </w:r>
          </w:p>
        </w:tc>
      </w:tr>
      <w:tr w:rsidR="0000631B" w:rsidRPr="006A1B52" w:rsidTr="005E5CB1">
        <w:trPr>
          <w:cnfStyle w:val="000000100000" w:firstRow="0" w:lastRow="0" w:firstColumn="0" w:lastColumn="0" w:oddVBand="0" w:evenVBand="0" w:oddHBand="1" w:evenHBand="0" w:firstRowFirstColumn="0" w:firstRowLastColumn="0" w:lastRowFirstColumn="0" w:lastRowLastColumn="0"/>
        </w:trPr>
        <w:tc>
          <w:tcPr>
            <w:tcW w:w="1114" w:type="dxa"/>
            <w:tcBorders>
              <w:right w:val="single" w:sz="8" w:space="0" w:color="5B9BD5" w:themeColor="accent1"/>
            </w:tcBorders>
            <w:noWrap/>
            <w:hideMark/>
          </w:tcPr>
          <w:p w:rsidR="0000631B" w:rsidRPr="006A1B52" w:rsidRDefault="0000631B" w:rsidP="005E5CB1">
            <w:pPr>
              <w:spacing w:after="0"/>
              <w:rPr>
                <w:rFonts w:asciiTheme="minorHAnsi" w:hAnsiTheme="minorHAnsi" w:cstheme="minorHAnsi"/>
                <w:sz w:val="18"/>
                <w:szCs w:val="18"/>
              </w:rPr>
            </w:pPr>
            <w:r w:rsidRPr="006A1B52">
              <w:rPr>
                <w:rFonts w:asciiTheme="minorHAnsi" w:hAnsiTheme="minorHAnsi" w:cstheme="minorHAnsi"/>
                <w:sz w:val="18"/>
                <w:szCs w:val="18"/>
              </w:rPr>
              <w:t>Japan</w:t>
            </w:r>
          </w:p>
        </w:tc>
        <w:tc>
          <w:tcPr>
            <w:tcW w:w="1371" w:type="dxa"/>
            <w:tcBorders>
              <w:left w:val="single" w:sz="8" w:space="0" w:color="5B9BD5" w:themeColor="accent1"/>
            </w:tcBorders>
            <w:hideMark/>
          </w:tcPr>
          <w:p w:rsidR="0000631B" w:rsidRPr="006A1B52" w:rsidRDefault="0000631B" w:rsidP="005E5CB1">
            <w:pPr>
              <w:spacing w:after="0"/>
              <w:jc w:val="center"/>
              <w:rPr>
                <w:rFonts w:asciiTheme="minorHAnsi" w:hAnsiTheme="minorHAnsi" w:cstheme="minorHAnsi"/>
                <w:sz w:val="18"/>
                <w:szCs w:val="18"/>
              </w:rPr>
            </w:pPr>
            <w:r w:rsidRPr="006A1B52">
              <w:rPr>
                <w:rFonts w:asciiTheme="minorHAnsi" w:hAnsiTheme="minorHAnsi" w:cstheme="minorHAnsi"/>
                <w:sz w:val="18"/>
                <w:szCs w:val="18"/>
              </w:rPr>
              <w:t>3.2%</w:t>
            </w:r>
          </w:p>
        </w:tc>
        <w:tc>
          <w:tcPr>
            <w:tcW w:w="1371" w:type="dxa"/>
            <w:hideMark/>
          </w:tcPr>
          <w:p w:rsidR="0000631B" w:rsidRPr="006A1B52" w:rsidRDefault="0000631B" w:rsidP="005E5CB1">
            <w:pPr>
              <w:spacing w:after="0"/>
              <w:jc w:val="center"/>
              <w:rPr>
                <w:rFonts w:asciiTheme="minorHAnsi" w:hAnsiTheme="minorHAnsi" w:cstheme="minorHAnsi"/>
                <w:sz w:val="18"/>
                <w:szCs w:val="18"/>
              </w:rPr>
            </w:pPr>
            <w:r w:rsidRPr="006A1B52">
              <w:rPr>
                <w:rFonts w:asciiTheme="minorHAnsi" w:hAnsiTheme="minorHAnsi" w:cstheme="minorHAnsi"/>
                <w:sz w:val="18"/>
                <w:szCs w:val="18"/>
              </w:rPr>
              <w:t>3.8%</w:t>
            </w:r>
          </w:p>
        </w:tc>
        <w:tc>
          <w:tcPr>
            <w:tcW w:w="1372" w:type="dxa"/>
            <w:tcBorders>
              <w:right w:val="single" w:sz="8" w:space="0" w:color="5B9BD5" w:themeColor="accent1"/>
            </w:tcBorders>
            <w:hideMark/>
          </w:tcPr>
          <w:p w:rsidR="0000631B" w:rsidRPr="006A1B52" w:rsidRDefault="0000631B" w:rsidP="005E5CB1">
            <w:pPr>
              <w:spacing w:after="0"/>
              <w:jc w:val="center"/>
              <w:rPr>
                <w:rFonts w:asciiTheme="minorHAnsi" w:hAnsiTheme="minorHAnsi" w:cstheme="minorHAnsi"/>
                <w:sz w:val="18"/>
                <w:szCs w:val="18"/>
              </w:rPr>
            </w:pPr>
            <w:r w:rsidRPr="006A1B52">
              <w:rPr>
                <w:rFonts w:asciiTheme="minorHAnsi" w:hAnsiTheme="minorHAnsi" w:cstheme="minorHAnsi"/>
                <w:sz w:val="18"/>
                <w:szCs w:val="18"/>
              </w:rPr>
              <w:t>7.0%</w:t>
            </w:r>
          </w:p>
        </w:tc>
        <w:tc>
          <w:tcPr>
            <w:tcW w:w="1371" w:type="dxa"/>
            <w:tcBorders>
              <w:left w:val="single" w:sz="8" w:space="0" w:color="5B9BD5" w:themeColor="accent1"/>
            </w:tcBorders>
            <w:hideMark/>
          </w:tcPr>
          <w:p w:rsidR="0000631B" w:rsidRPr="006A1B52" w:rsidRDefault="0000631B" w:rsidP="005E5CB1">
            <w:pPr>
              <w:spacing w:after="0"/>
              <w:jc w:val="center"/>
              <w:rPr>
                <w:rFonts w:asciiTheme="minorHAnsi" w:hAnsiTheme="minorHAnsi" w:cstheme="minorHAnsi"/>
                <w:sz w:val="18"/>
                <w:szCs w:val="18"/>
              </w:rPr>
            </w:pPr>
            <w:r w:rsidRPr="006A1B52">
              <w:rPr>
                <w:rFonts w:asciiTheme="minorHAnsi" w:hAnsiTheme="minorHAnsi" w:cstheme="minorHAnsi"/>
                <w:sz w:val="18"/>
                <w:szCs w:val="18"/>
              </w:rPr>
              <w:t>3.9%</w:t>
            </w:r>
          </w:p>
        </w:tc>
        <w:tc>
          <w:tcPr>
            <w:tcW w:w="1371" w:type="dxa"/>
            <w:hideMark/>
          </w:tcPr>
          <w:p w:rsidR="0000631B" w:rsidRPr="006A1B52" w:rsidRDefault="0000631B" w:rsidP="005E5CB1">
            <w:pPr>
              <w:spacing w:after="0"/>
              <w:jc w:val="center"/>
              <w:rPr>
                <w:rFonts w:asciiTheme="minorHAnsi" w:hAnsiTheme="minorHAnsi" w:cstheme="minorHAnsi"/>
                <w:sz w:val="18"/>
                <w:szCs w:val="18"/>
              </w:rPr>
            </w:pPr>
            <w:r w:rsidRPr="006A1B52">
              <w:rPr>
                <w:rFonts w:asciiTheme="minorHAnsi" w:hAnsiTheme="minorHAnsi" w:cstheme="minorHAnsi"/>
                <w:sz w:val="18"/>
                <w:szCs w:val="18"/>
              </w:rPr>
              <w:t>4.1%</w:t>
            </w:r>
          </w:p>
        </w:tc>
        <w:tc>
          <w:tcPr>
            <w:tcW w:w="1372" w:type="dxa"/>
            <w:hideMark/>
          </w:tcPr>
          <w:p w:rsidR="0000631B" w:rsidRPr="006A1B52" w:rsidRDefault="0000631B" w:rsidP="005E5CB1">
            <w:pPr>
              <w:spacing w:after="0"/>
              <w:jc w:val="center"/>
              <w:rPr>
                <w:rFonts w:asciiTheme="minorHAnsi" w:hAnsiTheme="minorHAnsi" w:cstheme="minorHAnsi"/>
                <w:sz w:val="18"/>
                <w:szCs w:val="18"/>
              </w:rPr>
            </w:pPr>
            <w:r w:rsidRPr="006A1B52">
              <w:rPr>
                <w:rFonts w:asciiTheme="minorHAnsi" w:hAnsiTheme="minorHAnsi" w:cstheme="minorHAnsi"/>
                <w:sz w:val="18"/>
                <w:szCs w:val="18"/>
              </w:rPr>
              <w:t>8.0%</w:t>
            </w:r>
          </w:p>
        </w:tc>
      </w:tr>
      <w:tr w:rsidR="0000631B" w:rsidRPr="006A1B52" w:rsidTr="005E5CB1">
        <w:tc>
          <w:tcPr>
            <w:tcW w:w="1114" w:type="dxa"/>
            <w:tcBorders>
              <w:right w:val="single" w:sz="8" w:space="0" w:color="5B9BD5" w:themeColor="accent1"/>
            </w:tcBorders>
            <w:noWrap/>
            <w:hideMark/>
          </w:tcPr>
          <w:p w:rsidR="0000631B" w:rsidRPr="006A1B52" w:rsidRDefault="0000631B" w:rsidP="005E5CB1">
            <w:pPr>
              <w:spacing w:after="0"/>
              <w:rPr>
                <w:rFonts w:asciiTheme="minorHAnsi" w:hAnsiTheme="minorHAnsi" w:cstheme="minorHAnsi"/>
                <w:sz w:val="18"/>
                <w:szCs w:val="18"/>
              </w:rPr>
            </w:pPr>
            <w:r w:rsidRPr="006A1B52">
              <w:rPr>
                <w:rFonts w:asciiTheme="minorHAnsi" w:hAnsiTheme="minorHAnsi" w:cstheme="minorHAnsi"/>
                <w:sz w:val="18"/>
                <w:szCs w:val="18"/>
              </w:rPr>
              <w:t>Malaysia</w:t>
            </w:r>
          </w:p>
        </w:tc>
        <w:tc>
          <w:tcPr>
            <w:tcW w:w="1371" w:type="dxa"/>
            <w:tcBorders>
              <w:left w:val="single" w:sz="8" w:space="0" w:color="5B9BD5" w:themeColor="accent1"/>
            </w:tcBorders>
            <w:hideMark/>
          </w:tcPr>
          <w:p w:rsidR="0000631B" w:rsidRPr="006A1B52" w:rsidRDefault="0000631B" w:rsidP="005E5CB1">
            <w:pPr>
              <w:spacing w:after="0"/>
              <w:jc w:val="center"/>
              <w:rPr>
                <w:rFonts w:asciiTheme="minorHAnsi" w:hAnsiTheme="minorHAnsi" w:cstheme="minorHAnsi"/>
                <w:sz w:val="18"/>
                <w:szCs w:val="18"/>
              </w:rPr>
            </w:pPr>
            <w:r w:rsidRPr="006A1B52">
              <w:rPr>
                <w:rFonts w:asciiTheme="minorHAnsi" w:hAnsiTheme="minorHAnsi" w:cstheme="minorHAnsi"/>
                <w:sz w:val="18"/>
                <w:szCs w:val="18"/>
              </w:rPr>
              <w:t>1.7%</w:t>
            </w:r>
          </w:p>
        </w:tc>
        <w:tc>
          <w:tcPr>
            <w:tcW w:w="1371" w:type="dxa"/>
            <w:hideMark/>
          </w:tcPr>
          <w:p w:rsidR="0000631B" w:rsidRPr="006A1B52" w:rsidRDefault="0000631B" w:rsidP="005E5CB1">
            <w:pPr>
              <w:spacing w:after="0"/>
              <w:jc w:val="center"/>
              <w:rPr>
                <w:rFonts w:asciiTheme="minorHAnsi" w:hAnsiTheme="minorHAnsi" w:cstheme="minorHAnsi"/>
                <w:sz w:val="18"/>
                <w:szCs w:val="18"/>
              </w:rPr>
            </w:pPr>
            <w:r w:rsidRPr="006A1B52">
              <w:rPr>
                <w:rFonts w:asciiTheme="minorHAnsi" w:hAnsiTheme="minorHAnsi" w:cstheme="minorHAnsi"/>
                <w:sz w:val="18"/>
                <w:szCs w:val="18"/>
              </w:rPr>
              <w:t>4.5%</w:t>
            </w:r>
          </w:p>
        </w:tc>
        <w:tc>
          <w:tcPr>
            <w:tcW w:w="1372" w:type="dxa"/>
            <w:tcBorders>
              <w:right w:val="single" w:sz="8" w:space="0" w:color="5B9BD5" w:themeColor="accent1"/>
            </w:tcBorders>
            <w:hideMark/>
          </w:tcPr>
          <w:p w:rsidR="0000631B" w:rsidRPr="006A1B52" w:rsidRDefault="0000631B" w:rsidP="005E5CB1">
            <w:pPr>
              <w:spacing w:after="0"/>
              <w:jc w:val="center"/>
              <w:rPr>
                <w:rFonts w:asciiTheme="minorHAnsi" w:hAnsiTheme="minorHAnsi" w:cstheme="minorHAnsi"/>
                <w:sz w:val="18"/>
                <w:szCs w:val="18"/>
              </w:rPr>
            </w:pPr>
            <w:r w:rsidRPr="006A1B52">
              <w:rPr>
                <w:rFonts w:asciiTheme="minorHAnsi" w:hAnsiTheme="minorHAnsi" w:cstheme="minorHAnsi"/>
                <w:sz w:val="18"/>
                <w:szCs w:val="18"/>
              </w:rPr>
              <w:t>6.2%</w:t>
            </w:r>
          </w:p>
        </w:tc>
        <w:tc>
          <w:tcPr>
            <w:tcW w:w="1371" w:type="dxa"/>
            <w:tcBorders>
              <w:left w:val="single" w:sz="8" w:space="0" w:color="5B9BD5" w:themeColor="accent1"/>
            </w:tcBorders>
            <w:hideMark/>
          </w:tcPr>
          <w:p w:rsidR="0000631B" w:rsidRPr="006A1B52" w:rsidRDefault="0000631B" w:rsidP="005E5CB1">
            <w:pPr>
              <w:spacing w:after="0"/>
              <w:jc w:val="center"/>
              <w:rPr>
                <w:rFonts w:asciiTheme="minorHAnsi" w:hAnsiTheme="minorHAnsi" w:cstheme="minorHAnsi"/>
                <w:sz w:val="18"/>
                <w:szCs w:val="18"/>
              </w:rPr>
            </w:pPr>
            <w:r w:rsidRPr="006A1B52">
              <w:rPr>
                <w:rFonts w:asciiTheme="minorHAnsi" w:hAnsiTheme="minorHAnsi" w:cstheme="minorHAnsi"/>
                <w:sz w:val="18"/>
                <w:szCs w:val="18"/>
              </w:rPr>
              <w:t>2.0%</w:t>
            </w:r>
          </w:p>
        </w:tc>
        <w:tc>
          <w:tcPr>
            <w:tcW w:w="1371" w:type="dxa"/>
            <w:hideMark/>
          </w:tcPr>
          <w:p w:rsidR="0000631B" w:rsidRPr="006A1B52" w:rsidRDefault="0000631B" w:rsidP="005E5CB1">
            <w:pPr>
              <w:spacing w:after="0"/>
              <w:jc w:val="center"/>
              <w:rPr>
                <w:rFonts w:asciiTheme="minorHAnsi" w:hAnsiTheme="minorHAnsi" w:cstheme="minorHAnsi"/>
                <w:sz w:val="18"/>
                <w:szCs w:val="18"/>
              </w:rPr>
            </w:pPr>
            <w:r w:rsidRPr="006A1B52">
              <w:rPr>
                <w:rFonts w:asciiTheme="minorHAnsi" w:hAnsiTheme="minorHAnsi" w:cstheme="minorHAnsi"/>
                <w:sz w:val="18"/>
                <w:szCs w:val="18"/>
              </w:rPr>
              <w:t>4.9%</w:t>
            </w:r>
          </w:p>
        </w:tc>
        <w:tc>
          <w:tcPr>
            <w:tcW w:w="1372" w:type="dxa"/>
            <w:hideMark/>
          </w:tcPr>
          <w:p w:rsidR="0000631B" w:rsidRPr="006A1B52" w:rsidRDefault="0000631B" w:rsidP="005E5CB1">
            <w:pPr>
              <w:spacing w:after="0"/>
              <w:jc w:val="center"/>
              <w:rPr>
                <w:rFonts w:asciiTheme="minorHAnsi" w:hAnsiTheme="minorHAnsi" w:cstheme="minorHAnsi"/>
                <w:sz w:val="18"/>
                <w:szCs w:val="18"/>
              </w:rPr>
            </w:pPr>
            <w:r w:rsidRPr="006A1B52">
              <w:rPr>
                <w:rFonts w:asciiTheme="minorHAnsi" w:hAnsiTheme="minorHAnsi" w:cstheme="minorHAnsi"/>
                <w:sz w:val="18"/>
                <w:szCs w:val="18"/>
              </w:rPr>
              <w:t>6.9%</w:t>
            </w:r>
          </w:p>
        </w:tc>
      </w:tr>
      <w:tr w:rsidR="0000631B" w:rsidRPr="006A1B52" w:rsidTr="005E5CB1">
        <w:trPr>
          <w:cnfStyle w:val="000000100000" w:firstRow="0" w:lastRow="0" w:firstColumn="0" w:lastColumn="0" w:oddVBand="0" w:evenVBand="0" w:oddHBand="1" w:evenHBand="0" w:firstRowFirstColumn="0" w:firstRowLastColumn="0" w:lastRowFirstColumn="0" w:lastRowLastColumn="0"/>
        </w:trPr>
        <w:tc>
          <w:tcPr>
            <w:tcW w:w="1114" w:type="dxa"/>
            <w:tcBorders>
              <w:right w:val="single" w:sz="8" w:space="0" w:color="5B9BD5" w:themeColor="accent1"/>
            </w:tcBorders>
            <w:noWrap/>
            <w:hideMark/>
          </w:tcPr>
          <w:p w:rsidR="0000631B" w:rsidRPr="006A1B52" w:rsidRDefault="0000631B" w:rsidP="005E5CB1">
            <w:pPr>
              <w:spacing w:after="0"/>
              <w:rPr>
                <w:rFonts w:asciiTheme="minorHAnsi" w:hAnsiTheme="minorHAnsi" w:cstheme="minorHAnsi"/>
                <w:sz w:val="18"/>
                <w:szCs w:val="18"/>
              </w:rPr>
            </w:pPr>
            <w:r w:rsidRPr="006A1B52">
              <w:rPr>
                <w:rFonts w:asciiTheme="minorHAnsi" w:hAnsiTheme="minorHAnsi" w:cstheme="minorHAnsi"/>
                <w:sz w:val="18"/>
                <w:szCs w:val="18"/>
              </w:rPr>
              <w:t>Philippines</w:t>
            </w:r>
          </w:p>
        </w:tc>
        <w:tc>
          <w:tcPr>
            <w:tcW w:w="1371" w:type="dxa"/>
            <w:tcBorders>
              <w:left w:val="single" w:sz="8" w:space="0" w:color="5B9BD5" w:themeColor="accent1"/>
            </w:tcBorders>
            <w:hideMark/>
          </w:tcPr>
          <w:p w:rsidR="0000631B" w:rsidRPr="006A1B52" w:rsidRDefault="0000631B" w:rsidP="005E5CB1">
            <w:pPr>
              <w:spacing w:after="0"/>
              <w:jc w:val="center"/>
              <w:rPr>
                <w:rFonts w:asciiTheme="minorHAnsi" w:hAnsiTheme="minorHAnsi" w:cstheme="minorHAnsi"/>
                <w:sz w:val="18"/>
                <w:szCs w:val="18"/>
              </w:rPr>
            </w:pPr>
            <w:r w:rsidRPr="006A1B52">
              <w:rPr>
                <w:rFonts w:asciiTheme="minorHAnsi" w:hAnsiTheme="minorHAnsi" w:cstheme="minorHAnsi"/>
                <w:sz w:val="18"/>
                <w:szCs w:val="18"/>
              </w:rPr>
              <w:t>2.4%</w:t>
            </w:r>
          </w:p>
        </w:tc>
        <w:tc>
          <w:tcPr>
            <w:tcW w:w="1371" w:type="dxa"/>
            <w:hideMark/>
          </w:tcPr>
          <w:p w:rsidR="0000631B" w:rsidRPr="006A1B52" w:rsidRDefault="0000631B" w:rsidP="005E5CB1">
            <w:pPr>
              <w:spacing w:after="0"/>
              <w:jc w:val="center"/>
              <w:rPr>
                <w:rFonts w:asciiTheme="minorHAnsi" w:hAnsiTheme="minorHAnsi" w:cstheme="minorHAnsi"/>
                <w:sz w:val="18"/>
                <w:szCs w:val="18"/>
              </w:rPr>
            </w:pPr>
            <w:r w:rsidRPr="006A1B52">
              <w:rPr>
                <w:rFonts w:asciiTheme="minorHAnsi" w:hAnsiTheme="minorHAnsi" w:cstheme="minorHAnsi"/>
                <w:sz w:val="18"/>
                <w:szCs w:val="18"/>
              </w:rPr>
              <w:t>5.1%</w:t>
            </w:r>
          </w:p>
        </w:tc>
        <w:tc>
          <w:tcPr>
            <w:tcW w:w="1372" w:type="dxa"/>
            <w:tcBorders>
              <w:right w:val="single" w:sz="8" w:space="0" w:color="5B9BD5" w:themeColor="accent1"/>
            </w:tcBorders>
            <w:hideMark/>
          </w:tcPr>
          <w:p w:rsidR="0000631B" w:rsidRPr="006A1B52" w:rsidRDefault="0000631B" w:rsidP="005E5CB1">
            <w:pPr>
              <w:spacing w:after="0"/>
              <w:jc w:val="center"/>
              <w:rPr>
                <w:rFonts w:asciiTheme="minorHAnsi" w:hAnsiTheme="minorHAnsi" w:cstheme="minorHAnsi"/>
                <w:sz w:val="18"/>
                <w:szCs w:val="18"/>
              </w:rPr>
            </w:pPr>
            <w:r w:rsidRPr="006A1B52">
              <w:rPr>
                <w:rFonts w:asciiTheme="minorHAnsi" w:hAnsiTheme="minorHAnsi" w:cstheme="minorHAnsi"/>
                <w:sz w:val="18"/>
                <w:szCs w:val="18"/>
              </w:rPr>
              <w:t>7.5%</w:t>
            </w:r>
          </w:p>
        </w:tc>
        <w:tc>
          <w:tcPr>
            <w:tcW w:w="1371" w:type="dxa"/>
            <w:tcBorders>
              <w:left w:val="single" w:sz="8" w:space="0" w:color="5B9BD5" w:themeColor="accent1"/>
            </w:tcBorders>
            <w:hideMark/>
          </w:tcPr>
          <w:p w:rsidR="0000631B" w:rsidRPr="006A1B52" w:rsidRDefault="0000631B" w:rsidP="005E5CB1">
            <w:pPr>
              <w:spacing w:after="0"/>
              <w:jc w:val="center"/>
              <w:rPr>
                <w:rFonts w:asciiTheme="minorHAnsi" w:hAnsiTheme="minorHAnsi" w:cstheme="minorHAnsi"/>
                <w:sz w:val="18"/>
                <w:szCs w:val="18"/>
              </w:rPr>
            </w:pPr>
            <w:r w:rsidRPr="006A1B52">
              <w:rPr>
                <w:rFonts w:asciiTheme="minorHAnsi" w:hAnsiTheme="minorHAnsi" w:cstheme="minorHAnsi"/>
                <w:sz w:val="18"/>
                <w:szCs w:val="18"/>
              </w:rPr>
              <w:t>2.6%</w:t>
            </w:r>
          </w:p>
        </w:tc>
        <w:tc>
          <w:tcPr>
            <w:tcW w:w="1371" w:type="dxa"/>
            <w:hideMark/>
          </w:tcPr>
          <w:p w:rsidR="0000631B" w:rsidRPr="006A1B52" w:rsidRDefault="0000631B" w:rsidP="005E5CB1">
            <w:pPr>
              <w:spacing w:after="0"/>
              <w:jc w:val="center"/>
              <w:rPr>
                <w:rFonts w:asciiTheme="minorHAnsi" w:hAnsiTheme="minorHAnsi" w:cstheme="minorHAnsi"/>
                <w:sz w:val="18"/>
                <w:szCs w:val="18"/>
              </w:rPr>
            </w:pPr>
            <w:r w:rsidRPr="006A1B52">
              <w:rPr>
                <w:rFonts w:asciiTheme="minorHAnsi" w:hAnsiTheme="minorHAnsi" w:cstheme="minorHAnsi"/>
                <w:sz w:val="18"/>
                <w:szCs w:val="18"/>
              </w:rPr>
              <w:t>5.2%</w:t>
            </w:r>
          </w:p>
        </w:tc>
        <w:tc>
          <w:tcPr>
            <w:tcW w:w="1372" w:type="dxa"/>
            <w:hideMark/>
          </w:tcPr>
          <w:p w:rsidR="0000631B" w:rsidRPr="006A1B52" w:rsidRDefault="0000631B" w:rsidP="005E5CB1">
            <w:pPr>
              <w:spacing w:after="0"/>
              <w:jc w:val="center"/>
              <w:rPr>
                <w:rFonts w:asciiTheme="minorHAnsi" w:hAnsiTheme="minorHAnsi" w:cstheme="minorHAnsi"/>
                <w:sz w:val="18"/>
                <w:szCs w:val="18"/>
              </w:rPr>
            </w:pPr>
            <w:r w:rsidRPr="006A1B52">
              <w:rPr>
                <w:rFonts w:asciiTheme="minorHAnsi" w:hAnsiTheme="minorHAnsi" w:cstheme="minorHAnsi"/>
                <w:sz w:val="18"/>
                <w:szCs w:val="18"/>
              </w:rPr>
              <w:t>7.8%</w:t>
            </w:r>
          </w:p>
        </w:tc>
      </w:tr>
      <w:tr w:rsidR="0000631B" w:rsidRPr="006A1B52" w:rsidTr="005E5CB1">
        <w:tc>
          <w:tcPr>
            <w:tcW w:w="1114" w:type="dxa"/>
            <w:tcBorders>
              <w:right w:val="single" w:sz="8" w:space="0" w:color="5B9BD5" w:themeColor="accent1"/>
            </w:tcBorders>
            <w:noWrap/>
            <w:hideMark/>
          </w:tcPr>
          <w:p w:rsidR="0000631B" w:rsidRPr="006A1B52" w:rsidRDefault="0000631B" w:rsidP="005E5CB1">
            <w:pPr>
              <w:spacing w:after="0"/>
              <w:rPr>
                <w:rFonts w:asciiTheme="minorHAnsi" w:hAnsiTheme="minorHAnsi" w:cstheme="minorHAnsi"/>
                <w:sz w:val="18"/>
                <w:szCs w:val="18"/>
              </w:rPr>
            </w:pPr>
            <w:r w:rsidRPr="006A1B52">
              <w:rPr>
                <w:rFonts w:asciiTheme="minorHAnsi" w:hAnsiTheme="minorHAnsi" w:cstheme="minorHAnsi"/>
                <w:sz w:val="18"/>
                <w:szCs w:val="18"/>
              </w:rPr>
              <w:t>Singapore</w:t>
            </w:r>
          </w:p>
        </w:tc>
        <w:tc>
          <w:tcPr>
            <w:tcW w:w="1371" w:type="dxa"/>
            <w:tcBorders>
              <w:left w:val="single" w:sz="8" w:space="0" w:color="5B9BD5" w:themeColor="accent1"/>
            </w:tcBorders>
            <w:hideMark/>
          </w:tcPr>
          <w:p w:rsidR="0000631B" w:rsidRPr="006A1B52" w:rsidRDefault="0000631B" w:rsidP="005E5CB1">
            <w:pPr>
              <w:spacing w:after="0"/>
              <w:jc w:val="center"/>
              <w:rPr>
                <w:rFonts w:asciiTheme="minorHAnsi" w:hAnsiTheme="minorHAnsi" w:cstheme="minorHAnsi"/>
                <w:sz w:val="18"/>
                <w:szCs w:val="18"/>
              </w:rPr>
            </w:pPr>
            <w:r w:rsidRPr="006A1B52">
              <w:rPr>
                <w:rFonts w:asciiTheme="minorHAnsi" w:hAnsiTheme="minorHAnsi" w:cstheme="minorHAnsi"/>
                <w:sz w:val="18"/>
                <w:szCs w:val="18"/>
              </w:rPr>
              <w:t>2.2%</w:t>
            </w:r>
          </w:p>
        </w:tc>
        <w:tc>
          <w:tcPr>
            <w:tcW w:w="1371" w:type="dxa"/>
            <w:hideMark/>
          </w:tcPr>
          <w:p w:rsidR="0000631B" w:rsidRPr="006A1B52" w:rsidRDefault="0000631B" w:rsidP="005E5CB1">
            <w:pPr>
              <w:spacing w:after="0"/>
              <w:jc w:val="center"/>
              <w:rPr>
                <w:rFonts w:asciiTheme="minorHAnsi" w:hAnsiTheme="minorHAnsi" w:cstheme="minorHAnsi"/>
                <w:sz w:val="18"/>
                <w:szCs w:val="18"/>
              </w:rPr>
            </w:pPr>
            <w:r w:rsidRPr="006A1B52">
              <w:rPr>
                <w:rFonts w:asciiTheme="minorHAnsi" w:hAnsiTheme="minorHAnsi" w:cstheme="minorHAnsi"/>
                <w:sz w:val="18"/>
                <w:szCs w:val="18"/>
              </w:rPr>
              <w:t>3.2%</w:t>
            </w:r>
          </w:p>
        </w:tc>
        <w:tc>
          <w:tcPr>
            <w:tcW w:w="1372" w:type="dxa"/>
            <w:tcBorders>
              <w:right w:val="single" w:sz="8" w:space="0" w:color="5B9BD5" w:themeColor="accent1"/>
            </w:tcBorders>
            <w:hideMark/>
          </w:tcPr>
          <w:p w:rsidR="0000631B" w:rsidRPr="006A1B52" w:rsidRDefault="0000631B" w:rsidP="005E5CB1">
            <w:pPr>
              <w:spacing w:after="0"/>
              <w:jc w:val="center"/>
              <w:rPr>
                <w:rFonts w:asciiTheme="minorHAnsi" w:hAnsiTheme="minorHAnsi" w:cstheme="minorHAnsi"/>
                <w:sz w:val="18"/>
                <w:szCs w:val="18"/>
              </w:rPr>
            </w:pPr>
            <w:r w:rsidRPr="006A1B52">
              <w:rPr>
                <w:rFonts w:asciiTheme="minorHAnsi" w:hAnsiTheme="minorHAnsi" w:cstheme="minorHAnsi"/>
                <w:sz w:val="18"/>
                <w:szCs w:val="18"/>
              </w:rPr>
              <w:t>5.4%</w:t>
            </w:r>
          </w:p>
        </w:tc>
        <w:tc>
          <w:tcPr>
            <w:tcW w:w="1371" w:type="dxa"/>
            <w:tcBorders>
              <w:left w:val="single" w:sz="8" w:space="0" w:color="5B9BD5" w:themeColor="accent1"/>
            </w:tcBorders>
            <w:hideMark/>
          </w:tcPr>
          <w:p w:rsidR="0000631B" w:rsidRPr="006A1B52" w:rsidRDefault="0000631B" w:rsidP="005E5CB1">
            <w:pPr>
              <w:spacing w:after="0"/>
              <w:jc w:val="center"/>
              <w:rPr>
                <w:rFonts w:asciiTheme="minorHAnsi" w:hAnsiTheme="minorHAnsi" w:cstheme="minorHAnsi"/>
                <w:sz w:val="18"/>
                <w:szCs w:val="18"/>
              </w:rPr>
            </w:pPr>
            <w:r w:rsidRPr="006A1B52">
              <w:rPr>
                <w:rFonts w:asciiTheme="minorHAnsi" w:hAnsiTheme="minorHAnsi" w:cstheme="minorHAnsi"/>
                <w:sz w:val="18"/>
                <w:szCs w:val="18"/>
              </w:rPr>
              <w:t>2.3%</w:t>
            </w:r>
          </w:p>
        </w:tc>
        <w:tc>
          <w:tcPr>
            <w:tcW w:w="1371" w:type="dxa"/>
            <w:hideMark/>
          </w:tcPr>
          <w:p w:rsidR="0000631B" w:rsidRPr="006A1B52" w:rsidRDefault="0000631B" w:rsidP="005E5CB1">
            <w:pPr>
              <w:spacing w:after="0"/>
              <w:jc w:val="center"/>
              <w:rPr>
                <w:rFonts w:asciiTheme="minorHAnsi" w:hAnsiTheme="minorHAnsi" w:cstheme="minorHAnsi"/>
                <w:sz w:val="18"/>
                <w:szCs w:val="18"/>
              </w:rPr>
            </w:pPr>
            <w:r w:rsidRPr="006A1B52">
              <w:rPr>
                <w:rFonts w:asciiTheme="minorHAnsi" w:hAnsiTheme="minorHAnsi" w:cstheme="minorHAnsi"/>
                <w:sz w:val="18"/>
                <w:szCs w:val="18"/>
              </w:rPr>
              <w:t>3.4%</w:t>
            </w:r>
          </w:p>
        </w:tc>
        <w:tc>
          <w:tcPr>
            <w:tcW w:w="1372" w:type="dxa"/>
            <w:hideMark/>
          </w:tcPr>
          <w:p w:rsidR="0000631B" w:rsidRPr="006A1B52" w:rsidRDefault="0000631B" w:rsidP="005E5CB1">
            <w:pPr>
              <w:spacing w:after="0"/>
              <w:jc w:val="center"/>
              <w:rPr>
                <w:rFonts w:asciiTheme="minorHAnsi" w:hAnsiTheme="minorHAnsi" w:cstheme="minorHAnsi"/>
                <w:sz w:val="18"/>
                <w:szCs w:val="18"/>
              </w:rPr>
            </w:pPr>
            <w:r w:rsidRPr="006A1B52">
              <w:rPr>
                <w:rFonts w:asciiTheme="minorHAnsi" w:hAnsiTheme="minorHAnsi" w:cstheme="minorHAnsi"/>
                <w:sz w:val="18"/>
                <w:szCs w:val="18"/>
              </w:rPr>
              <w:t>5.7%</w:t>
            </w:r>
          </w:p>
        </w:tc>
      </w:tr>
      <w:tr w:rsidR="0000631B" w:rsidRPr="006A1B52" w:rsidTr="005E5CB1">
        <w:trPr>
          <w:cnfStyle w:val="000000100000" w:firstRow="0" w:lastRow="0" w:firstColumn="0" w:lastColumn="0" w:oddVBand="0" w:evenVBand="0" w:oddHBand="1" w:evenHBand="0" w:firstRowFirstColumn="0" w:firstRowLastColumn="0" w:lastRowFirstColumn="0" w:lastRowLastColumn="0"/>
        </w:trPr>
        <w:tc>
          <w:tcPr>
            <w:tcW w:w="1114" w:type="dxa"/>
            <w:tcBorders>
              <w:right w:val="single" w:sz="8" w:space="0" w:color="5B9BD5" w:themeColor="accent1"/>
            </w:tcBorders>
            <w:noWrap/>
            <w:hideMark/>
          </w:tcPr>
          <w:p w:rsidR="0000631B" w:rsidRPr="006A1B52" w:rsidRDefault="0000631B" w:rsidP="005E5CB1">
            <w:pPr>
              <w:spacing w:after="0"/>
              <w:rPr>
                <w:rFonts w:asciiTheme="minorHAnsi" w:hAnsiTheme="minorHAnsi" w:cstheme="minorHAnsi"/>
                <w:sz w:val="18"/>
                <w:szCs w:val="18"/>
              </w:rPr>
            </w:pPr>
            <w:r w:rsidRPr="006A1B52">
              <w:rPr>
                <w:rFonts w:asciiTheme="minorHAnsi" w:hAnsiTheme="minorHAnsi" w:cstheme="minorHAnsi"/>
                <w:sz w:val="18"/>
                <w:szCs w:val="18"/>
              </w:rPr>
              <w:t>USA</w:t>
            </w:r>
          </w:p>
        </w:tc>
        <w:tc>
          <w:tcPr>
            <w:tcW w:w="1371" w:type="dxa"/>
            <w:tcBorders>
              <w:left w:val="single" w:sz="8" w:space="0" w:color="5B9BD5" w:themeColor="accent1"/>
            </w:tcBorders>
            <w:hideMark/>
          </w:tcPr>
          <w:p w:rsidR="0000631B" w:rsidRPr="006A1B52" w:rsidRDefault="0000631B" w:rsidP="005E5CB1">
            <w:pPr>
              <w:spacing w:after="0"/>
              <w:jc w:val="center"/>
              <w:rPr>
                <w:rFonts w:asciiTheme="minorHAnsi" w:hAnsiTheme="minorHAnsi" w:cstheme="minorHAnsi"/>
                <w:sz w:val="18"/>
                <w:szCs w:val="18"/>
              </w:rPr>
            </w:pPr>
            <w:r w:rsidRPr="006A1B52">
              <w:rPr>
                <w:rFonts w:asciiTheme="minorHAnsi" w:hAnsiTheme="minorHAnsi" w:cstheme="minorHAnsi"/>
                <w:sz w:val="18"/>
                <w:szCs w:val="18"/>
              </w:rPr>
              <w:t>3.5%</w:t>
            </w:r>
          </w:p>
        </w:tc>
        <w:tc>
          <w:tcPr>
            <w:tcW w:w="1371" w:type="dxa"/>
            <w:hideMark/>
          </w:tcPr>
          <w:p w:rsidR="0000631B" w:rsidRPr="006A1B52" w:rsidRDefault="0000631B" w:rsidP="005E5CB1">
            <w:pPr>
              <w:spacing w:after="0"/>
              <w:jc w:val="center"/>
              <w:rPr>
                <w:rFonts w:asciiTheme="minorHAnsi" w:hAnsiTheme="minorHAnsi" w:cstheme="minorHAnsi"/>
                <w:sz w:val="18"/>
                <w:szCs w:val="18"/>
              </w:rPr>
            </w:pPr>
            <w:r w:rsidRPr="006A1B52">
              <w:rPr>
                <w:rFonts w:asciiTheme="minorHAnsi" w:hAnsiTheme="minorHAnsi" w:cstheme="minorHAnsi"/>
                <w:sz w:val="18"/>
                <w:szCs w:val="18"/>
              </w:rPr>
              <w:t>5.0%</w:t>
            </w:r>
          </w:p>
        </w:tc>
        <w:tc>
          <w:tcPr>
            <w:tcW w:w="1372" w:type="dxa"/>
            <w:tcBorders>
              <w:right w:val="single" w:sz="8" w:space="0" w:color="5B9BD5" w:themeColor="accent1"/>
            </w:tcBorders>
            <w:hideMark/>
          </w:tcPr>
          <w:p w:rsidR="0000631B" w:rsidRPr="006A1B52" w:rsidRDefault="0000631B" w:rsidP="005E5CB1">
            <w:pPr>
              <w:spacing w:after="0"/>
              <w:jc w:val="center"/>
              <w:rPr>
                <w:rFonts w:asciiTheme="minorHAnsi" w:hAnsiTheme="minorHAnsi" w:cstheme="minorHAnsi"/>
                <w:sz w:val="18"/>
                <w:szCs w:val="18"/>
              </w:rPr>
            </w:pPr>
            <w:r w:rsidRPr="006A1B52">
              <w:rPr>
                <w:rFonts w:asciiTheme="minorHAnsi" w:hAnsiTheme="minorHAnsi" w:cstheme="minorHAnsi"/>
                <w:sz w:val="18"/>
                <w:szCs w:val="18"/>
              </w:rPr>
              <w:t>8.5%</w:t>
            </w:r>
          </w:p>
        </w:tc>
        <w:tc>
          <w:tcPr>
            <w:tcW w:w="1371" w:type="dxa"/>
            <w:tcBorders>
              <w:left w:val="single" w:sz="8" w:space="0" w:color="5B9BD5" w:themeColor="accent1"/>
            </w:tcBorders>
            <w:hideMark/>
          </w:tcPr>
          <w:p w:rsidR="0000631B" w:rsidRPr="006A1B52" w:rsidRDefault="0000631B" w:rsidP="005E5CB1">
            <w:pPr>
              <w:spacing w:after="0"/>
              <w:jc w:val="center"/>
              <w:rPr>
                <w:rFonts w:asciiTheme="minorHAnsi" w:hAnsiTheme="minorHAnsi" w:cstheme="minorHAnsi"/>
                <w:sz w:val="18"/>
                <w:szCs w:val="18"/>
              </w:rPr>
            </w:pPr>
            <w:r w:rsidRPr="006A1B52">
              <w:rPr>
                <w:rFonts w:asciiTheme="minorHAnsi" w:hAnsiTheme="minorHAnsi" w:cstheme="minorHAnsi"/>
                <w:sz w:val="18"/>
                <w:szCs w:val="18"/>
              </w:rPr>
              <w:t>3.1%</w:t>
            </w:r>
          </w:p>
        </w:tc>
        <w:tc>
          <w:tcPr>
            <w:tcW w:w="1371" w:type="dxa"/>
            <w:hideMark/>
          </w:tcPr>
          <w:p w:rsidR="0000631B" w:rsidRPr="006A1B52" w:rsidRDefault="0000631B" w:rsidP="005E5CB1">
            <w:pPr>
              <w:spacing w:after="0"/>
              <w:jc w:val="center"/>
              <w:rPr>
                <w:rFonts w:asciiTheme="minorHAnsi" w:hAnsiTheme="minorHAnsi" w:cstheme="minorHAnsi"/>
                <w:sz w:val="18"/>
                <w:szCs w:val="18"/>
              </w:rPr>
            </w:pPr>
            <w:r w:rsidRPr="006A1B52">
              <w:rPr>
                <w:rFonts w:asciiTheme="minorHAnsi" w:hAnsiTheme="minorHAnsi" w:cstheme="minorHAnsi"/>
                <w:sz w:val="18"/>
                <w:szCs w:val="18"/>
              </w:rPr>
              <w:t>5.1%</w:t>
            </w:r>
          </w:p>
        </w:tc>
        <w:tc>
          <w:tcPr>
            <w:tcW w:w="1372" w:type="dxa"/>
            <w:hideMark/>
          </w:tcPr>
          <w:p w:rsidR="0000631B" w:rsidRPr="006A1B52" w:rsidRDefault="0000631B" w:rsidP="005E5CB1">
            <w:pPr>
              <w:spacing w:after="0"/>
              <w:jc w:val="center"/>
              <w:rPr>
                <w:rFonts w:asciiTheme="minorHAnsi" w:hAnsiTheme="minorHAnsi" w:cstheme="minorHAnsi"/>
                <w:sz w:val="18"/>
                <w:szCs w:val="18"/>
              </w:rPr>
            </w:pPr>
            <w:r w:rsidRPr="006A1B52">
              <w:rPr>
                <w:rFonts w:asciiTheme="minorHAnsi" w:hAnsiTheme="minorHAnsi" w:cstheme="minorHAnsi"/>
                <w:sz w:val="18"/>
                <w:szCs w:val="18"/>
              </w:rPr>
              <w:t>8.2%</w:t>
            </w:r>
          </w:p>
        </w:tc>
      </w:tr>
    </w:tbl>
    <w:p w:rsidR="0000631B" w:rsidRDefault="0000631B" w:rsidP="0000631B">
      <w:pPr>
        <w:rPr>
          <w:sz w:val="18"/>
          <w:szCs w:val="18"/>
        </w:rPr>
      </w:pPr>
      <w:r w:rsidRPr="001071FB">
        <w:rPr>
          <w:sz w:val="18"/>
          <w:szCs w:val="18"/>
        </w:rPr>
        <w:t>Source: VISES estimates.</w:t>
      </w:r>
    </w:p>
    <w:p w:rsidR="00563642" w:rsidRDefault="00563642" w:rsidP="001071FB">
      <w:pPr>
        <w:spacing w:after="0"/>
        <w:rPr>
          <w:b/>
          <w:sz w:val="20"/>
          <w:szCs w:val="20"/>
        </w:rPr>
      </w:pPr>
    </w:p>
    <w:p w:rsidR="00E41A7E" w:rsidRPr="00CC2911" w:rsidRDefault="00E41A7E" w:rsidP="00E41A7E">
      <w:pPr>
        <w:spacing w:after="0"/>
        <w:rPr>
          <w:b/>
          <w:sz w:val="20"/>
          <w:szCs w:val="20"/>
        </w:rPr>
      </w:pPr>
      <w:r>
        <w:rPr>
          <w:b/>
          <w:sz w:val="20"/>
          <w:szCs w:val="20"/>
        </w:rPr>
        <w:t>Fig</w:t>
      </w:r>
      <w:r w:rsidR="006A7CA3">
        <w:rPr>
          <w:b/>
          <w:sz w:val="20"/>
          <w:szCs w:val="20"/>
        </w:rPr>
        <w:t>ure</w:t>
      </w:r>
      <w:r>
        <w:rPr>
          <w:b/>
          <w:sz w:val="20"/>
          <w:szCs w:val="20"/>
        </w:rPr>
        <w:t xml:space="preserve"> </w:t>
      </w:r>
      <w:r w:rsidR="0013771C">
        <w:rPr>
          <w:b/>
          <w:sz w:val="20"/>
          <w:szCs w:val="20"/>
        </w:rPr>
        <w:t>8</w:t>
      </w:r>
      <w:r>
        <w:rPr>
          <w:b/>
          <w:sz w:val="20"/>
          <w:szCs w:val="20"/>
        </w:rPr>
        <w:t xml:space="preserve"> </w:t>
      </w:r>
      <w:r w:rsidRPr="00CC2911">
        <w:rPr>
          <w:b/>
          <w:sz w:val="20"/>
          <w:szCs w:val="20"/>
        </w:rPr>
        <w:t xml:space="preserve">Change in % GDP </w:t>
      </w:r>
      <w:r w:rsidR="006A7CA3">
        <w:rPr>
          <w:b/>
          <w:sz w:val="20"/>
          <w:szCs w:val="20"/>
        </w:rPr>
        <w:t>t</w:t>
      </w:r>
      <w:r w:rsidR="006A7CA3" w:rsidRPr="00CC2911">
        <w:rPr>
          <w:b/>
          <w:sz w:val="20"/>
          <w:szCs w:val="20"/>
        </w:rPr>
        <w:t xml:space="preserve">otal </w:t>
      </w:r>
      <w:r w:rsidR="006A7CA3">
        <w:rPr>
          <w:b/>
          <w:sz w:val="20"/>
          <w:szCs w:val="20"/>
        </w:rPr>
        <w:t>a</w:t>
      </w:r>
      <w:r w:rsidR="006A7CA3" w:rsidRPr="00CC2911">
        <w:rPr>
          <w:b/>
          <w:sz w:val="20"/>
          <w:szCs w:val="20"/>
        </w:rPr>
        <w:t xml:space="preserve">bsenteeism </w:t>
      </w:r>
      <w:r w:rsidRPr="00CC2911">
        <w:rPr>
          <w:b/>
          <w:sz w:val="20"/>
          <w:szCs w:val="20"/>
        </w:rPr>
        <w:t xml:space="preserve">+ </w:t>
      </w:r>
      <w:r w:rsidR="006A7CA3">
        <w:rPr>
          <w:b/>
          <w:sz w:val="20"/>
          <w:szCs w:val="20"/>
        </w:rPr>
        <w:t>p</w:t>
      </w:r>
      <w:r w:rsidR="006A7CA3" w:rsidRPr="00CC2911">
        <w:rPr>
          <w:b/>
          <w:sz w:val="20"/>
          <w:szCs w:val="20"/>
        </w:rPr>
        <w:t xml:space="preserve">resenteeism </w:t>
      </w:r>
      <w:r w:rsidRPr="00CC2911">
        <w:rPr>
          <w:b/>
          <w:sz w:val="20"/>
          <w:szCs w:val="20"/>
        </w:rPr>
        <w:t>+ early retirement</w:t>
      </w:r>
      <w:r w:rsidR="006A7CA3">
        <w:rPr>
          <w:b/>
          <w:sz w:val="20"/>
          <w:szCs w:val="20"/>
        </w:rPr>
        <w:t>,</w:t>
      </w:r>
      <w:r w:rsidRPr="00CC2911">
        <w:rPr>
          <w:b/>
          <w:sz w:val="20"/>
          <w:szCs w:val="20"/>
        </w:rPr>
        <w:t xml:space="preserve"> 2015-30</w:t>
      </w:r>
    </w:p>
    <w:p w:rsidR="00E41A7E" w:rsidRDefault="00E41A7E" w:rsidP="0088478C">
      <w:pPr>
        <w:spacing w:after="0"/>
        <w:rPr>
          <w:color w:val="000000"/>
        </w:rPr>
      </w:pPr>
      <w:r>
        <w:rPr>
          <w:color w:val="000000"/>
        </w:rPr>
        <w:t xml:space="preserve">  </w:t>
      </w:r>
      <w:r w:rsidR="00E436C6">
        <w:rPr>
          <w:noProof/>
          <w:lang w:eastAsia="en-AU"/>
        </w:rPr>
        <w:drawing>
          <wp:inline distT="0" distB="0" distL="0" distR="0" wp14:anchorId="31DAD01E" wp14:editId="326EECA3">
            <wp:extent cx="4972050" cy="3019425"/>
            <wp:effectExtent l="0" t="0" r="0" b="0"/>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E41A7E" w:rsidRPr="00516500" w:rsidRDefault="00E41A7E" w:rsidP="00E41A7E">
      <w:pPr>
        <w:rPr>
          <w:sz w:val="18"/>
          <w:szCs w:val="18"/>
        </w:rPr>
      </w:pPr>
      <w:r w:rsidRPr="00516500">
        <w:rPr>
          <w:sz w:val="18"/>
          <w:szCs w:val="18"/>
        </w:rPr>
        <w:t>Source: VISES estimates.</w:t>
      </w:r>
    </w:p>
    <w:p w:rsidR="00E41A7E" w:rsidRPr="001071FB" w:rsidRDefault="00E41A7E" w:rsidP="00AB4FFA">
      <w:pPr>
        <w:rPr>
          <w:sz w:val="18"/>
          <w:szCs w:val="18"/>
        </w:rPr>
      </w:pPr>
    </w:p>
    <w:p w:rsidR="00563642" w:rsidRDefault="00563642">
      <w:pPr>
        <w:spacing w:after="160" w:line="259" w:lineRule="auto"/>
        <w:rPr>
          <w:rFonts w:asciiTheme="majorHAnsi" w:eastAsiaTheme="majorEastAsia" w:hAnsiTheme="majorHAnsi" w:cstheme="majorBidi"/>
          <w:b/>
          <w:bCs/>
          <w:color w:val="2E74B5" w:themeColor="accent1" w:themeShade="BF"/>
          <w:sz w:val="26"/>
          <w:szCs w:val="26"/>
        </w:rPr>
      </w:pPr>
      <w:r>
        <w:rPr>
          <w:rFonts w:asciiTheme="majorHAnsi" w:eastAsiaTheme="majorEastAsia" w:hAnsiTheme="majorHAnsi" w:cstheme="majorBidi"/>
          <w:b/>
          <w:bCs/>
          <w:color w:val="2E74B5" w:themeColor="accent1" w:themeShade="BF"/>
          <w:sz w:val="26"/>
          <w:szCs w:val="26"/>
        </w:rPr>
        <w:br w:type="page"/>
      </w:r>
    </w:p>
    <w:p w:rsidR="00620021" w:rsidRDefault="00620021" w:rsidP="00AB4FFA">
      <w:pPr>
        <w:rPr>
          <w:rFonts w:asciiTheme="majorHAnsi" w:eastAsiaTheme="majorEastAsia" w:hAnsiTheme="majorHAnsi" w:cstheme="majorBidi"/>
          <w:b/>
          <w:bCs/>
          <w:color w:val="2E74B5" w:themeColor="accent1" w:themeShade="BF"/>
          <w:sz w:val="26"/>
          <w:szCs w:val="26"/>
        </w:rPr>
      </w:pPr>
      <w:r w:rsidRPr="001071FB">
        <w:rPr>
          <w:rFonts w:asciiTheme="majorHAnsi" w:eastAsiaTheme="majorEastAsia" w:hAnsiTheme="majorHAnsi" w:cstheme="majorBidi"/>
          <w:b/>
          <w:bCs/>
          <w:color w:val="2E74B5" w:themeColor="accent1" w:themeShade="BF"/>
          <w:sz w:val="26"/>
          <w:szCs w:val="26"/>
        </w:rPr>
        <w:lastRenderedPageBreak/>
        <w:t>References</w:t>
      </w:r>
    </w:p>
    <w:p w:rsidR="0018195C" w:rsidRPr="005E5CB1" w:rsidRDefault="005E5CB1" w:rsidP="005E5CB1">
      <w:pPr>
        <w:spacing w:after="120"/>
        <w:ind w:left="426" w:hanging="426"/>
        <w:rPr>
          <w:sz w:val="20"/>
          <w:szCs w:val="20"/>
        </w:rPr>
      </w:pPr>
      <w:r>
        <w:rPr>
          <w:sz w:val="20"/>
          <w:szCs w:val="20"/>
        </w:rPr>
        <w:t xml:space="preserve">National Bureau of Statistics China, </w:t>
      </w:r>
      <w:r w:rsidRPr="005E5CB1">
        <w:rPr>
          <w:i/>
          <w:sz w:val="20"/>
          <w:szCs w:val="20"/>
        </w:rPr>
        <w:t>China Statistical Yearb</w:t>
      </w:r>
      <w:r w:rsidR="0018195C" w:rsidRPr="005E5CB1">
        <w:rPr>
          <w:i/>
          <w:sz w:val="20"/>
          <w:szCs w:val="20"/>
        </w:rPr>
        <w:t>ook 2016</w:t>
      </w:r>
      <w:r w:rsidR="0018195C" w:rsidRPr="00396C98">
        <w:rPr>
          <w:sz w:val="20"/>
          <w:szCs w:val="20"/>
        </w:rPr>
        <w:t xml:space="preserve">, </w:t>
      </w:r>
      <w:r>
        <w:rPr>
          <w:sz w:val="20"/>
          <w:szCs w:val="20"/>
        </w:rPr>
        <w:t xml:space="preserve">China Statistics Press, at </w:t>
      </w:r>
      <w:hyperlink r:id="rId19" w:history="1">
        <w:r w:rsidR="0018195C" w:rsidRPr="00396C98">
          <w:rPr>
            <w:rStyle w:val="Hyperlink"/>
            <w:sz w:val="20"/>
            <w:szCs w:val="20"/>
          </w:rPr>
          <w:t>http://www.stats.gov.cn/tjsj/ndsj/2016/indexeh.htm</w:t>
        </w:r>
      </w:hyperlink>
      <w:r w:rsidRPr="005E5CB1">
        <w:rPr>
          <w:rStyle w:val="Hyperlink"/>
          <w:color w:val="auto"/>
          <w:sz w:val="20"/>
          <w:szCs w:val="20"/>
          <w:u w:val="none"/>
        </w:rPr>
        <w:t>,</w:t>
      </w:r>
      <w:r>
        <w:rPr>
          <w:rStyle w:val="Hyperlink"/>
          <w:sz w:val="20"/>
          <w:szCs w:val="20"/>
          <w:u w:val="none"/>
        </w:rPr>
        <w:t xml:space="preserve"> </w:t>
      </w:r>
      <w:r w:rsidRPr="005E5CB1">
        <w:rPr>
          <w:rStyle w:val="Hyperlink"/>
          <w:color w:val="auto"/>
          <w:sz w:val="20"/>
          <w:szCs w:val="20"/>
          <w:u w:val="none"/>
        </w:rPr>
        <w:t>accessed September 2017</w:t>
      </w:r>
      <w:r>
        <w:rPr>
          <w:rStyle w:val="Hyperlink"/>
          <w:sz w:val="20"/>
          <w:szCs w:val="20"/>
          <w:u w:val="none"/>
        </w:rPr>
        <w:t>.</w:t>
      </w:r>
    </w:p>
    <w:p w:rsidR="007B4B71" w:rsidRDefault="007B4B71" w:rsidP="00563642">
      <w:pPr>
        <w:spacing w:after="120"/>
        <w:ind w:left="426" w:hanging="426"/>
        <w:rPr>
          <w:rFonts w:eastAsia="MS Mincho" w:cs="Calibri"/>
          <w:sz w:val="20"/>
          <w:szCs w:val="20"/>
        </w:rPr>
      </w:pPr>
      <w:proofErr w:type="spellStart"/>
      <w:r w:rsidRPr="003E064F">
        <w:rPr>
          <w:rFonts w:eastAsia="MS Mincho" w:cs="Calibri"/>
          <w:sz w:val="20"/>
          <w:szCs w:val="20"/>
        </w:rPr>
        <w:t>Goetzel</w:t>
      </w:r>
      <w:proofErr w:type="spellEnd"/>
      <w:r w:rsidRPr="003E064F">
        <w:rPr>
          <w:rFonts w:eastAsia="MS Mincho" w:cs="Calibri"/>
          <w:sz w:val="20"/>
          <w:szCs w:val="20"/>
        </w:rPr>
        <w:t xml:space="preserve">, R.Z. et al. 2004, ‘Health, absence, disability, and presenteeism cost estimates of certain physical and mental health conditions affecting U.S. employers’, </w:t>
      </w:r>
      <w:r w:rsidRPr="003E064F">
        <w:rPr>
          <w:rFonts w:eastAsia="MS Mincho" w:cs="Calibri"/>
          <w:i/>
          <w:sz w:val="20"/>
          <w:szCs w:val="20"/>
        </w:rPr>
        <w:t>Journal of Occupational and Environmental Medicine</w:t>
      </w:r>
      <w:r w:rsidRPr="003E064F">
        <w:rPr>
          <w:rFonts w:eastAsia="MS Mincho" w:cs="Calibri"/>
          <w:sz w:val="20"/>
          <w:szCs w:val="20"/>
        </w:rPr>
        <w:t>, vol. 46, no. 4,  pp. 398-412.</w:t>
      </w:r>
    </w:p>
    <w:p w:rsidR="006C2B4B" w:rsidRPr="003924E5" w:rsidRDefault="006C2B4B" w:rsidP="00563642">
      <w:pPr>
        <w:spacing w:after="120"/>
        <w:ind w:left="425" w:hanging="425"/>
        <w:rPr>
          <w:rFonts w:eastAsia="MS Mincho" w:cs="Calibri"/>
          <w:sz w:val="20"/>
          <w:szCs w:val="20"/>
        </w:rPr>
      </w:pPr>
      <w:proofErr w:type="spellStart"/>
      <w:r>
        <w:rPr>
          <w:rFonts w:eastAsia="MS Mincho" w:cs="Calibri"/>
          <w:sz w:val="20"/>
          <w:szCs w:val="20"/>
        </w:rPr>
        <w:t>Healthgrove</w:t>
      </w:r>
      <w:proofErr w:type="spellEnd"/>
      <w:r>
        <w:rPr>
          <w:rFonts w:eastAsia="MS Mincho" w:cs="Calibri"/>
          <w:sz w:val="20"/>
          <w:szCs w:val="20"/>
        </w:rPr>
        <w:t xml:space="preserve"> 2017</w:t>
      </w:r>
      <w:r w:rsidR="0000631B">
        <w:rPr>
          <w:rFonts w:eastAsia="MS Mincho" w:cs="Calibri"/>
          <w:sz w:val="20"/>
          <w:szCs w:val="20"/>
        </w:rPr>
        <w:t>,</w:t>
      </w:r>
      <w:r>
        <w:rPr>
          <w:rFonts w:eastAsia="MS Mincho" w:cs="Calibri"/>
          <w:sz w:val="20"/>
          <w:szCs w:val="20"/>
        </w:rPr>
        <w:t xml:space="preserve"> </w:t>
      </w:r>
      <w:r w:rsidR="0000631B">
        <w:rPr>
          <w:rFonts w:eastAsia="MS Mincho" w:cs="Calibri"/>
          <w:sz w:val="20"/>
          <w:szCs w:val="20"/>
        </w:rPr>
        <w:t>‘</w:t>
      </w:r>
      <w:r w:rsidR="0000631B" w:rsidRPr="0000631B">
        <w:rPr>
          <w:rFonts w:eastAsia="MS Mincho" w:cs="Calibri"/>
          <w:sz w:val="20"/>
          <w:szCs w:val="20"/>
        </w:rPr>
        <w:t>Jiangsu</w:t>
      </w:r>
      <w:r w:rsidR="0000631B">
        <w:rPr>
          <w:rFonts w:eastAsia="MS Mincho" w:cs="Calibri"/>
          <w:sz w:val="20"/>
          <w:szCs w:val="20"/>
        </w:rPr>
        <w:t xml:space="preserve">: </w:t>
      </w:r>
      <w:r w:rsidR="0000631B" w:rsidRPr="0000631B">
        <w:rPr>
          <w:rFonts w:eastAsia="MS Mincho" w:cs="Calibri"/>
          <w:sz w:val="20"/>
          <w:szCs w:val="20"/>
        </w:rPr>
        <w:t>Statistics on Diseases, Injuries, and Risk Factors</w:t>
      </w:r>
      <w:r w:rsidR="0000631B">
        <w:rPr>
          <w:rFonts w:eastAsia="MS Mincho" w:cs="Calibri"/>
          <w:sz w:val="20"/>
          <w:szCs w:val="20"/>
        </w:rPr>
        <w:t xml:space="preserve">’, </w:t>
      </w:r>
      <w:r>
        <w:rPr>
          <w:rFonts w:eastAsia="MS Mincho" w:cs="Calibri"/>
          <w:sz w:val="20"/>
          <w:szCs w:val="20"/>
        </w:rPr>
        <w:t xml:space="preserve">at </w:t>
      </w:r>
      <w:hyperlink r:id="rId20" w:history="1">
        <w:r w:rsidRPr="00EF2E66">
          <w:rPr>
            <w:rStyle w:val="Hyperlink"/>
            <w:rFonts w:eastAsia="MS Mincho" w:cs="Calibri"/>
            <w:sz w:val="20"/>
            <w:szCs w:val="20"/>
          </w:rPr>
          <w:t>http://global-health.healthgrove.com/l/165/Jiangsu</w:t>
        </w:r>
      </w:hyperlink>
      <w:r w:rsidR="0000631B" w:rsidRPr="00396C98">
        <w:rPr>
          <w:rStyle w:val="Hyperlink"/>
          <w:rFonts w:eastAsia="MS Mincho" w:cs="Calibri"/>
          <w:sz w:val="20"/>
          <w:szCs w:val="20"/>
          <w:u w:val="none"/>
        </w:rPr>
        <w:t xml:space="preserve">, </w:t>
      </w:r>
      <w:r w:rsidR="0000631B">
        <w:rPr>
          <w:rFonts w:eastAsia="MS Mincho" w:cs="Calibri"/>
          <w:sz w:val="20"/>
          <w:szCs w:val="20"/>
        </w:rPr>
        <w:t>a</w:t>
      </w:r>
      <w:r>
        <w:rPr>
          <w:rFonts w:eastAsia="MS Mincho" w:cs="Calibri"/>
          <w:sz w:val="20"/>
          <w:szCs w:val="20"/>
        </w:rPr>
        <w:t>ccessed September 2017</w:t>
      </w:r>
      <w:r w:rsidR="0000631B">
        <w:rPr>
          <w:rFonts w:eastAsia="MS Mincho" w:cs="Calibri"/>
          <w:sz w:val="20"/>
          <w:szCs w:val="20"/>
        </w:rPr>
        <w:t>.</w:t>
      </w:r>
    </w:p>
    <w:p w:rsidR="00411E9D" w:rsidRDefault="00411E9D" w:rsidP="00563642">
      <w:pPr>
        <w:spacing w:after="120"/>
        <w:ind w:left="284" w:hanging="284"/>
        <w:rPr>
          <w:rFonts w:cs="Calibri"/>
          <w:sz w:val="20"/>
          <w:szCs w:val="20"/>
        </w:rPr>
      </w:pPr>
      <w:r w:rsidRPr="00F9163C">
        <w:rPr>
          <w:rFonts w:cs="Calibri"/>
          <w:sz w:val="20"/>
          <w:szCs w:val="20"/>
        </w:rPr>
        <w:t xml:space="preserve">Institute of Health Metrics and Evaluation (IHME) </w:t>
      </w:r>
      <w:r w:rsidR="0088478C" w:rsidRPr="00F9163C">
        <w:rPr>
          <w:rFonts w:cs="Calibri"/>
          <w:sz w:val="20"/>
          <w:szCs w:val="20"/>
        </w:rPr>
        <w:t>201</w:t>
      </w:r>
      <w:r w:rsidR="00C409FC">
        <w:rPr>
          <w:rFonts w:cs="Calibri"/>
          <w:sz w:val="20"/>
          <w:szCs w:val="20"/>
        </w:rPr>
        <w:t>6</w:t>
      </w:r>
      <w:r w:rsidRPr="00F9163C">
        <w:rPr>
          <w:rFonts w:cs="Calibri"/>
          <w:sz w:val="20"/>
          <w:szCs w:val="20"/>
        </w:rPr>
        <w:t xml:space="preserve">, ‘GBD Data’, Seattle, WA, at </w:t>
      </w:r>
      <w:hyperlink r:id="rId21" w:history="1">
        <w:r w:rsidR="00E811A1" w:rsidRPr="00E811A1">
          <w:rPr>
            <w:rStyle w:val="Hyperlink"/>
            <w:rFonts w:cs="Calibri"/>
            <w:sz w:val="20"/>
            <w:szCs w:val="20"/>
          </w:rPr>
          <w:t>http://www.healthdata.org/gbd/data</w:t>
        </w:r>
      </w:hyperlink>
      <w:r w:rsidR="00E811A1">
        <w:rPr>
          <w:rFonts w:cs="Calibri"/>
          <w:sz w:val="20"/>
          <w:szCs w:val="20"/>
        </w:rPr>
        <w:t xml:space="preserve"> </w:t>
      </w:r>
      <w:r>
        <w:rPr>
          <w:rFonts w:cs="Calibri"/>
          <w:color w:val="FF0000"/>
          <w:sz w:val="20"/>
          <w:szCs w:val="20"/>
        </w:rPr>
        <w:t xml:space="preserve"> </w:t>
      </w:r>
      <w:r w:rsidRPr="00F9163C">
        <w:rPr>
          <w:rFonts w:cs="Calibri"/>
          <w:color w:val="FF0000"/>
          <w:sz w:val="20"/>
          <w:szCs w:val="20"/>
        </w:rPr>
        <w:t xml:space="preserve"> </w:t>
      </w:r>
      <w:r w:rsidRPr="00AC3C08">
        <w:rPr>
          <w:rFonts w:cs="Calibri"/>
          <w:sz w:val="20"/>
          <w:szCs w:val="20"/>
        </w:rPr>
        <w:t xml:space="preserve"> </w:t>
      </w:r>
    </w:p>
    <w:p w:rsidR="00CC46D3" w:rsidRDefault="00CC46D3" w:rsidP="00563642">
      <w:pPr>
        <w:spacing w:after="120"/>
        <w:ind w:left="284" w:hanging="284"/>
        <w:rPr>
          <w:rFonts w:cs="Calibri"/>
          <w:sz w:val="20"/>
          <w:szCs w:val="20"/>
        </w:rPr>
      </w:pPr>
      <w:r w:rsidRPr="00F9163C">
        <w:rPr>
          <w:rFonts w:cs="Calibri"/>
          <w:sz w:val="20"/>
          <w:szCs w:val="20"/>
        </w:rPr>
        <w:t>Institute of Health Metrics and Evaluation (IHME) 201</w:t>
      </w:r>
      <w:r>
        <w:rPr>
          <w:rFonts w:cs="Calibri"/>
          <w:sz w:val="20"/>
          <w:szCs w:val="20"/>
        </w:rPr>
        <w:t>7</w:t>
      </w:r>
      <w:r w:rsidRPr="00F9163C">
        <w:rPr>
          <w:rFonts w:cs="Calibri"/>
          <w:sz w:val="20"/>
          <w:szCs w:val="20"/>
        </w:rPr>
        <w:t>, ‘GBD Data’, Seattle, WA, at</w:t>
      </w:r>
      <w:r>
        <w:rPr>
          <w:rFonts w:cs="Calibri"/>
          <w:sz w:val="20"/>
          <w:szCs w:val="20"/>
        </w:rPr>
        <w:t xml:space="preserve"> </w:t>
      </w:r>
      <w:hyperlink r:id="rId22" w:history="1">
        <w:r w:rsidRPr="006E04F4">
          <w:rPr>
            <w:rStyle w:val="Hyperlink"/>
            <w:rFonts w:cs="Calibri"/>
            <w:sz w:val="20"/>
            <w:szCs w:val="20"/>
          </w:rPr>
          <w:t>http://www.healthdata.org/south-africa</w:t>
        </w:r>
      </w:hyperlink>
    </w:p>
    <w:p w:rsidR="00E811A1" w:rsidRPr="004169A7" w:rsidRDefault="00E811A1" w:rsidP="00563642">
      <w:pPr>
        <w:spacing w:after="120"/>
        <w:ind w:left="426" w:hanging="426"/>
        <w:rPr>
          <w:rFonts w:eastAsia="MS Mincho" w:cs="Calibri"/>
          <w:noProof/>
          <w:sz w:val="20"/>
          <w:szCs w:val="20"/>
          <w:lang w:eastAsia="en-AU"/>
        </w:rPr>
      </w:pPr>
      <w:r w:rsidRPr="004169A7">
        <w:rPr>
          <w:rFonts w:eastAsia="MS Mincho" w:cs="Calibri"/>
          <w:noProof/>
          <w:sz w:val="20"/>
          <w:szCs w:val="20"/>
          <w:lang w:eastAsia="en-AU"/>
        </w:rPr>
        <w:t xml:space="preserve">International Labour Organization (ILO) </w:t>
      </w:r>
      <w:r w:rsidR="00C2429F" w:rsidRPr="004169A7">
        <w:rPr>
          <w:rFonts w:eastAsia="MS Mincho" w:cs="Calibri"/>
          <w:noProof/>
          <w:sz w:val="20"/>
          <w:szCs w:val="20"/>
          <w:lang w:eastAsia="en-AU"/>
        </w:rPr>
        <w:t>201</w:t>
      </w:r>
      <w:r w:rsidR="00C2429F">
        <w:rPr>
          <w:rFonts w:eastAsia="MS Mincho" w:cs="Calibri"/>
          <w:noProof/>
          <w:sz w:val="20"/>
          <w:szCs w:val="20"/>
          <w:lang w:eastAsia="en-AU"/>
        </w:rPr>
        <w:t>6</w:t>
      </w:r>
      <w:r w:rsidRPr="004169A7">
        <w:rPr>
          <w:rFonts w:eastAsia="MS Mincho" w:cs="Calibri"/>
          <w:noProof/>
          <w:sz w:val="20"/>
          <w:szCs w:val="20"/>
          <w:lang w:eastAsia="en-AU"/>
        </w:rPr>
        <w:t xml:space="preserve">, </w:t>
      </w:r>
      <w:r w:rsidR="0000631B">
        <w:rPr>
          <w:rFonts w:eastAsia="MS Mincho" w:cs="Calibri"/>
          <w:noProof/>
          <w:sz w:val="20"/>
          <w:szCs w:val="20"/>
          <w:lang w:eastAsia="en-AU"/>
        </w:rPr>
        <w:t>‘</w:t>
      </w:r>
      <w:r w:rsidRPr="004169A7">
        <w:rPr>
          <w:rFonts w:eastAsia="MS Mincho" w:cs="Calibri"/>
          <w:noProof/>
          <w:sz w:val="20"/>
          <w:szCs w:val="20"/>
          <w:lang w:eastAsia="en-AU"/>
        </w:rPr>
        <w:t>ILOSTAT Database</w:t>
      </w:r>
      <w:r w:rsidR="0000631B">
        <w:rPr>
          <w:rFonts w:eastAsia="MS Mincho" w:cs="Calibri"/>
          <w:noProof/>
          <w:sz w:val="20"/>
          <w:szCs w:val="20"/>
          <w:lang w:eastAsia="en-AU"/>
        </w:rPr>
        <w:t>’</w:t>
      </w:r>
      <w:r w:rsidRPr="004169A7">
        <w:rPr>
          <w:rFonts w:eastAsia="MS Mincho" w:cs="Calibri"/>
          <w:noProof/>
          <w:sz w:val="20"/>
          <w:szCs w:val="20"/>
          <w:lang w:eastAsia="en-AU"/>
        </w:rPr>
        <w:t xml:space="preserve">, Geneva, at </w:t>
      </w:r>
      <w:hyperlink r:id="rId23" w:anchor="!%40%40%3F_afrLoop%3D243696333172726%26clean%3Dtrue%26_adf.ctrl-state%3D1ch6bvz5wr_244" w:history="1">
        <w:r w:rsidR="007731F5" w:rsidRPr="004E527A">
          <w:rPr>
            <w:rStyle w:val="Hyperlink"/>
            <w:rFonts w:eastAsia="MS Mincho" w:cs="Calibri"/>
            <w:noProof/>
            <w:sz w:val="20"/>
            <w:szCs w:val="20"/>
            <w:lang w:eastAsia="en-AU"/>
          </w:rPr>
          <w:t>http://www.ilo.org/ilostat/faces/oracle/webcenter/portalapp/pagehierarchy/Page137.jspx?_afrLoop=243696333172726&amp;clean=true#!%40%40%3F_afrLoop%3D243696333172726%26clean%3Dtrue%26_adf.ctrl-state%3D1ch6bvz5wr_244</w:t>
        </w:r>
      </w:hyperlink>
      <w:r w:rsidR="007731F5">
        <w:rPr>
          <w:rStyle w:val="Hyperlink"/>
          <w:rFonts w:eastAsia="MS Mincho" w:cs="Calibri"/>
          <w:noProof/>
          <w:sz w:val="20"/>
          <w:szCs w:val="20"/>
          <w:lang w:eastAsia="en-AU"/>
        </w:rPr>
        <w:t xml:space="preserve"> </w:t>
      </w:r>
    </w:p>
    <w:p w:rsidR="00C7079B" w:rsidRDefault="00C7079B" w:rsidP="00563642">
      <w:pPr>
        <w:spacing w:after="120"/>
        <w:ind w:left="426" w:hanging="426"/>
        <w:rPr>
          <w:rFonts w:eastAsia="MS Mincho" w:cs="Calibri"/>
          <w:sz w:val="20"/>
          <w:szCs w:val="20"/>
        </w:rPr>
      </w:pPr>
      <w:proofErr w:type="spellStart"/>
      <w:r w:rsidRPr="00C7079B">
        <w:rPr>
          <w:rFonts w:eastAsia="MS Mincho" w:cs="Calibri"/>
          <w:sz w:val="20"/>
          <w:szCs w:val="20"/>
        </w:rPr>
        <w:t>Lamontagne</w:t>
      </w:r>
      <w:proofErr w:type="spellEnd"/>
      <w:r w:rsidRPr="00C7079B">
        <w:rPr>
          <w:rFonts w:eastAsia="MS Mincho" w:cs="Calibri"/>
          <w:sz w:val="20"/>
          <w:szCs w:val="20"/>
        </w:rPr>
        <w:t xml:space="preserve">, E. et al. 2010, </w:t>
      </w:r>
      <w:r w:rsidR="0000631B">
        <w:rPr>
          <w:rFonts w:eastAsia="MS Mincho" w:cs="Calibri"/>
          <w:sz w:val="20"/>
          <w:szCs w:val="20"/>
        </w:rPr>
        <w:t>‘</w:t>
      </w:r>
      <w:r w:rsidRPr="00C7079B">
        <w:rPr>
          <w:rFonts w:eastAsia="MS Mincho" w:cs="Calibri"/>
          <w:sz w:val="20"/>
          <w:szCs w:val="20"/>
        </w:rPr>
        <w:t xml:space="preserve">Macroeconomic impact of HIV: the need for better modelling’, </w:t>
      </w:r>
      <w:r w:rsidRPr="00700999">
        <w:rPr>
          <w:rFonts w:eastAsia="MS Mincho" w:cs="Calibri"/>
          <w:i/>
          <w:sz w:val="20"/>
          <w:szCs w:val="20"/>
        </w:rPr>
        <w:t>Current Opinion in HIV and AIDS</w:t>
      </w:r>
      <w:r w:rsidRPr="00C7079B">
        <w:rPr>
          <w:rFonts w:eastAsia="MS Mincho" w:cs="Calibri"/>
          <w:sz w:val="20"/>
          <w:szCs w:val="20"/>
        </w:rPr>
        <w:t xml:space="preserve">, vol. 5, pp. 249-254. </w:t>
      </w:r>
    </w:p>
    <w:p w:rsidR="001E441E" w:rsidRDefault="005E5CB1" w:rsidP="00563642">
      <w:pPr>
        <w:spacing w:after="120"/>
        <w:ind w:left="426" w:hanging="426"/>
        <w:rPr>
          <w:rFonts w:eastAsia="MS Mincho" w:cs="Calibri"/>
          <w:sz w:val="20"/>
          <w:szCs w:val="20"/>
        </w:rPr>
      </w:pPr>
      <w:proofErr w:type="spellStart"/>
      <w:r>
        <w:rPr>
          <w:rFonts w:eastAsia="MS Mincho" w:cs="Calibri"/>
          <w:sz w:val="20"/>
          <w:szCs w:val="20"/>
        </w:rPr>
        <w:t>Maigeng</w:t>
      </w:r>
      <w:proofErr w:type="spellEnd"/>
      <w:r>
        <w:rPr>
          <w:rFonts w:eastAsia="MS Mincho" w:cs="Calibri"/>
          <w:sz w:val="20"/>
          <w:szCs w:val="20"/>
        </w:rPr>
        <w:t xml:space="preserve"> Zhou</w:t>
      </w:r>
      <w:r w:rsidR="001E441E">
        <w:rPr>
          <w:rFonts w:eastAsia="MS Mincho" w:cs="Calibri"/>
          <w:sz w:val="20"/>
          <w:szCs w:val="20"/>
        </w:rPr>
        <w:t xml:space="preserve"> et al</w:t>
      </w:r>
      <w:r>
        <w:rPr>
          <w:rFonts w:eastAsia="MS Mincho" w:cs="Calibri"/>
          <w:sz w:val="20"/>
          <w:szCs w:val="20"/>
        </w:rPr>
        <w:t>.</w:t>
      </w:r>
      <w:r w:rsidR="001E441E">
        <w:rPr>
          <w:rFonts w:eastAsia="MS Mincho" w:cs="Calibri"/>
          <w:sz w:val="20"/>
          <w:szCs w:val="20"/>
        </w:rPr>
        <w:t xml:space="preserve"> 2016, </w:t>
      </w:r>
      <w:proofErr w:type="spellStart"/>
      <w:r w:rsidR="0000631B">
        <w:rPr>
          <w:rFonts w:eastAsia="MS Mincho" w:cs="Calibri"/>
          <w:sz w:val="20"/>
          <w:szCs w:val="20"/>
        </w:rPr>
        <w:t>‘</w:t>
      </w:r>
      <w:r w:rsidR="001E441E">
        <w:rPr>
          <w:rFonts w:eastAsia="MS Mincho" w:cs="Calibri"/>
          <w:sz w:val="20"/>
          <w:szCs w:val="20"/>
        </w:rPr>
        <w:t>Cause</w:t>
      </w:r>
      <w:proofErr w:type="spellEnd"/>
      <w:r w:rsidR="001E441E">
        <w:rPr>
          <w:rFonts w:eastAsia="MS Mincho" w:cs="Calibri"/>
          <w:sz w:val="20"/>
          <w:szCs w:val="20"/>
        </w:rPr>
        <w:t xml:space="preserve">-specific mortality for 240 causes in China during 1990-2013: </w:t>
      </w:r>
      <w:r w:rsidR="0000631B">
        <w:rPr>
          <w:rFonts w:eastAsia="MS Mincho" w:cs="Calibri"/>
          <w:sz w:val="20"/>
          <w:szCs w:val="20"/>
        </w:rPr>
        <w:t xml:space="preserve">A </w:t>
      </w:r>
      <w:r w:rsidR="001E441E">
        <w:rPr>
          <w:rFonts w:eastAsia="MS Mincho" w:cs="Calibri"/>
          <w:sz w:val="20"/>
          <w:szCs w:val="20"/>
        </w:rPr>
        <w:t>systematic subnational analysis for Global Burden of Disease Study 2013</w:t>
      </w:r>
      <w:r w:rsidR="0000631B">
        <w:rPr>
          <w:rFonts w:eastAsia="MS Mincho" w:cs="Calibri"/>
          <w:sz w:val="20"/>
          <w:szCs w:val="20"/>
        </w:rPr>
        <w:t>’</w:t>
      </w:r>
      <w:r w:rsidR="001E441E">
        <w:rPr>
          <w:rFonts w:eastAsia="MS Mincho" w:cs="Calibri"/>
          <w:sz w:val="20"/>
          <w:szCs w:val="20"/>
        </w:rPr>
        <w:t xml:space="preserve">, </w:t>
      </w:r>
      <w:r w:rsidR="001E441E" w:rsidRPr="00396C98">
        <w:rPr>
          <w:rFonts w:eastAsia="MS Mincho" w:cs="Calibri"/>
          <w:i/>
          <w:sz w:val="20"/>
          <w:szCs w:val="20"/>
        </w:rPr>
        <w:t>Lancet</w:t>
      </w:r>
      <w:r w:rsidR="001E441E">
        <w:rPr>
          <w:rFonts w:eastAsia="MS Mincho" w:cs="Calibri"/>
          <w:sz w:val="20"/>
          <w:szCs w:val="20"/>
        </w:rPr>
        <w:t>, vol</w:t>
      </w:r>
      <w:r w:rsidR="0000631B">
        <w:rPr>
          <w:rFonts w:eastAsia="MS Mincho" w:cs="Calibri"/>
          <w:sz w:val="20"/>
          <w:szCs w:val="20"/>
        </w:rPr>
        <w:t>.</w:t>
      </w:r>
      <w:r w:rsidR="001E441E">
        <w:rPr>
          <w:rFonts w:eastAsia="MS Mincho" w:cs="Calibri"/>
          <w:sz w:val="20"/>
          <w:szCs w:val="20"/>
        </w:rPr>
        <w:t xml:space="preserve"> 387, pp. 251-272.</w:t>
      </w:r>
    </w:p>
    <w:p w:rsidR="00C2429F" w:rsidRDefault="00C2429F" w:rsidP="00563642">
      <w:pPr>
        <w:spacing w:after="120"/>
        <w:ind w:left="426" w:hanging="426"/>
        <w:rPr>
          <w:rFonts w:eastAsia="MS Mincho" w:cs="Calibri"/>
          <w:sz w:val="20"/>
          <w:szCs w:val="20"/>
        </w:rPr>
      </w:pPr>
      <w:r w:rsidRPr="00C2429F">
        <w:rPr>
          <w:rFonts w:eastAsia="MS Mincho" w:cs="Calibri"/>
          <w:sz w:val="20"/>
          <w:szCs w:val="20"/>
        </w:rPr>
        <w:t xml:space="preserve">Murray, C.J.L. et al. 2012, ‘GBD 2010: </w:t>
      </w:r>
      <w:r w:rsidR="0000631B">
        <w:rPr>
          <w:rFonts w:eastAsia="MS Mincho" w:cs="Calibri"/>
          <w:sz w:val="20"/>
          <w:szCs w:val="20"/>
        </w:rPr>
        <w:t>D</w:t>
      </w:r>
      <w:r w:rsidR="0000631B" w:rsidRPr="00C2429F">
        <w:rPr>
          <w:rFonts w:eastAsia="MS Mincho" w:cs="Calibri"/>
          <w:sz w:val="20"/>
          <w:szCs w:val="20"/>
        </w:rPr>
        <w:t>esign</w:t>
      </w:r>
      <w:r w:rsidRPr="00C2429F">
        <w:rPr>
          <w:rFonts w:eastAsia="MS Mincho" w:cs="Calibri"/>
          <w:sz w:val="20"/>
          <w:szCs w:val="20"/>
        </w:rPr>
        <w:t xml:space="preserve">, definitions, and metrics’, </w:t>
      </w:r>
      <w:r w:rsidRPr="0088478C">
        <w:rPr>
          <w:rFonts w:eastAsia="MS Mincho" w:cs="Calibri"/>
          <w:i/>
          <w:sz w:val="20"/>
          <w:szCs w:val="20"/>
        </w:rPr>
        <w:t>Lancet</w:t>
      </w:r>
      <w:r w:rsidRPr="00C2429F">
        <w:rPr>
          <w:rFonts w:eastAsia="MS Mincho" w:cs="Calibri"/>
          <w:sz w:val="20"/>
          <w:szCs w:val="20"/>
        </w:rPr>
        <w:t>, vol. 380, pp. 2063-2066.</w:t>
      </w:r>
    </w:p>
    <w:p w:rsidR="007B4B71" w:rsidRPr="003B6612" w:rsidRDefault="007B4B71" w:rsidP="00563642">
      <w:pPr>
        <w:spacing w:after="120"/>
        <w:ind w:left="426" w:hanging="426"/>
        <w:rPr>
          <w:rFonts w:eastAsia="MS Mincho" w:cs="Calibri"/>
          <w:sz w:val="20"/>
          <w:szCs w:val="20"/>
        </w:rPr>
      </w:pPr>
      <w:r w:rsidRPr="003B6612">
        <w:rPr>
          <w:rFonts w:eastAsia="MS Mincho" w:cs="Calibri"/>
          <w:sz w:val="20"/>
          <w:szCs w:val="20"/>
        </w:rPr>
        <w:t>Murray, C</w:t>
      </w:r>
      <w:r w:rsidR="00FE15DD">
        <w:rPr>
          <w:rFonts w:eastAsia="MS Mincho" w:cs="Calibri"/>
          <w:sz w:val="20"/>
          <w:szCs w:val="20"/>
        </w:rPr>
        <w:t>.</w:t>
      </w:r>
      <w:r w:rsidRPr="003B6612">
        <w:rPr>
          <w:rFonts w:eastAsia="MS Mincho" w:cs="Calibri"/>
          <w:sz w:val="20"/>
          <w:szCs w:val="20"/>
        </w:rPr>
        <w:t>J</w:t>
      </w:r>
      <w:r w:rsidR="00FE15DD">
        <w:rPr>
          <w:rFonts w:eastAsia="MS Mincho" w:cs="Calibri"/>
          <w:sz w:val="20"/>
          <w:szCs w:val="20"/>
        </w:rPr>
        <w:t>.</w:t>
      </w:r>
      <w:r w:rsidRPr="003B6612">
        <w:rPr>
          <w:rFonts w:eastAsia="MS Mincho" w:cs="Calibri"/>
          <w:sz w:val="20"/>
          <w:szCs w:val="20"/>
        </w:rPr>
        <w:t>L</w:t>
      </w:r>
      <w:r w:rsidR="00FE15DD">
        <w:rPr>
          <w:rFonts w:eastAsia="MS Mincho" w:cs="Calibri"/>
          <w:sz w:val="20"/>
          <w:szCs w:val="20"/>
        </w:rPr>
        <w:t>.</w:t>
      </w:r>
      <w:r w:rsidRPr="003B6612">
        <w:rPr>
          <w:rFonts w:eastAsia="MS Mincho" w:cs="Calibri"/>
          <w:sz w:val="20"/>
          <w:szCs w:val="20"/>
        </w:rPr>
        <w:t xml:space="preserve"> et al. </w:t>
      </w:r>
      <w:r w:rsidR="00FE15DD">
        <w:rPr>
          <w:rFonts w:eastAsia="MS Mincho" w:cs="Calibri"/>
          <w:sz w:val="20"/>
          <w:szCs w:val="20"/>
        </w:rPr>
        <w:t xml:space="preserve"> 2015, ‘</w:t>
      </w:r>
      <w:r w:rsidRPr="003B6612">
        <w:rPr>
          <w:rFonts w:eastAsia="MS Mincho" w:cs="Calibri"/>
          <w:sz w:val="20"/>
          <w:szCs w:val="20"/>
        </w:rPr>
        <w:t>Global, regional, and national disability-adjusted life years (DALYs) for 306 diseases and injuries and healthy life expectancy (HALE) for 188 countries, 1990</w:t>
      </w:r>
      <w:r w:rsidR="001918C0">
        <w:rPr>
          <w:rFonts w:eastAsia="MS Mincho" w:cs="Calibri"/>
          <w:sz w:val="20"/>
          <w:szCs w:val="20"/>
        </w:rPr>
        <w:t>-</w:t>
      </w:r>
      <w:r w:rsidRPr="003B6612">
        <w:rPr>
          <w:rFonts w:eastAsia="MS Mincho" w:cs="Calibri"/>
          <w:sz w:val="20"/>
          <w:szCs w:val="20"/>
        </w:rPr>
        <w:t xml:space="preserve">2013: </w:t>
      </w:r>
      <w:r w:rsidR="0000631B">
        <w:rPr>
          <w:rFonts w:eastAsia="MS Mincho" w:cs="Calibri"/>
          <w:sz w:val="20"/>
          <w:szCs w:val="20"/>
        </w:rPr>
        <w:t>Q</w:t>
      </w:r>
      <w:r w:rsidR="0000631B" w:rsidRPr="003B6612">
        <w:rPr>
          <w:rFonts w:eastAsia="MS Mincho" w:cs="Calibri"/>
          <w:sz w:val="20"/>
          <w:szCs w:val="20"/>
        </w:rPr>
        <w:t xml:space="preserve">uantifying </w:t>
      </w:r>
      <w:r w:rsidR="00FE15DD">
        <w:rPr>
          <w:rFonts w:eastAsia="MS Mincho" w:cs="Calibri"/>
          <w:sz w:val="20"/>
          <w:szCs w:val="20"/>
        </w:rPr>
        <w:t xml:space="preserve">the epidemiological transition’, </w:t>
      </w:r>
      <w:r w:rsidR="00FE15DD" w:rsidRPr="001071FB">
        <w:rPr>
          <w:rFonts w:eastAsia="MS Mincho" w:cs="Calibri"/>
          <w:i/>
          <w:sz w:val="20"/>
          <w:szCs w:val="20"/>
        </w:rPr>
        <w:t>Lancet</w:t>
      </w:r>
      <w:r w:rsidR="00FE15DD">
        <w:rPr>
          <w:rFonts w:eastAsia="MS Mincho" w:cs="Calibri"/>
          <w:sz w:val="20"/>
          <w:szCs w:val="20"/>
        </w:rPr>
        <w:t xml:space="preserve">, </w:t>
      </w:r>
      <w:r w:rsidR="00263A42">
        <w:rPr>
          <w:rFonts w:eastAsia="MS Mincho" w:cs="Calibri"/>
          <w:sz w:val="20"/>
          <w:szCs w:val="20"/>
        </w:rPr>
        <w:t>vol.</w:t>
      </w:r>
      <w:r w:rsidR="00263A42" w:rsidRPr="00263A42">
        <w:rPr>
          <w:rFonts w:eastAsia="MS Mincho" w:cs="Calibri"/>
          <w:sz w:val="20"/>
          <w:szCs w:val="20"/>
        </w:rPr>
        <w:t xml:space="preserve"> 386, p</w:t>
      </w:r>
      <w:r w:rsidR="00263A42">
        <w:rPr>
          <w:rFonts w:eastAsia="MS Mincho" w:cs="Calibri"/>
          <w:sz w:val="20"/>
          <w:szCs w:val="20"/>
        </w:rPr>
        <w:t>p. 2145</w:t>
      </w:r>
      <w:r w:rsidR="00C7231B">
        <w:rPr>
          <w:rFonts w:eastAsia="MS Mincho" w:cs="Calibri"/>
          <w:sz w:val="20"/>
          <w:szCs w:val="20"/>
        </w:rPr>
        <w:t>-</w:t>
      </w:r>
      <w:r w:rsidR="00263A42">
        <w:rPr>
          <w:rFonts w:eastAsia="MS Mincho" w:cs="Calibri"/>
          <w:sz w:val="20"/>
          <w:szCs w:val="20"/>
        </w:rPr>
        <w:t>2191.</w:t>
      </w:r>
    </w:p>
    <w:p w:rsidR="00FE15DD" w:rsidRPr="007B4B71" w:rsidRDefault="00FE15DD" w:rsidP="00563642">
      <w:pPr>
        <w:spacing w:after="120"/>
        <w:ind w:left="426" w:hanging="426"/>
        <w:rPr>
          <w:rFonts w:eastAsia="PMingLiU" w:cs="Calibri"/>
          <w:sz w:val="20"/>
          <w:szCs w:val="20"/>
          <w:lang w:eastAsia="zh-TW"/>
        </w:rPr>
      </w:pPr>
      <w:r w:rsidRPr="007B4B71">
        <w:rPr>
          <w:rFonts w:eastAsia="PMingLiU" w:cs="Calibri"/>
          <w:sz w:val="20"/>
          <w:szCs w:val="20"/>
          <w:lang w:eastAsia="zh-TW"/>
        </w:rPr>
        <w:t xml:space="preserve">Rasmussen, B., Sweeny, K. and Sheehan, P. 2015a, </w:t>
      </w:r>
      <w:r w:rsidRPr="007A168B">
        <w:rPr>
          <w:rFonts w:eastAsia="PMingLiU" w:cs="Calibri"/>
          <w:i/>
          <w:sz w:val="20"/>
          <w:szCs w:val="20"/>
          <w:lang w:eastAsia="zh-TW"/>
        </w:rPr>
        <w:t>Cost of Early Retirement Due to Ill Health: Phase II Countries</w:t>
      </w:r>
      <w:r w:rsidRPr="007B4B71">
        <w:rPr>
          <w:rFonts w:eastAsia="PMingLiU" w:cs="Calibri"/>
          <w:sz w:val="20"/>
          <w:szCs w:val="20"/>
          <w:lang w:eastAsia="zh-TW"/>
        </w:rPr>
        <w:t xml:space="preserve">, Report to the APEC Business Advisory Council and US Chamber of Commerce, VISES, </w:t>
      </w:r>
      <w:r w:rsidR="001E67E8">
        <w:rPr>
          <w:rFonts w:eastAsia="PMingLiU" w:cs="Calibri"/>
          <w:sz w:val="20"/>
          <w:szCs w:val="20"/>
          <w:lang w:eastAsia="zh-TW"/>
        </w:rPr>
        <w:t xml:space="preserve">Victoria University, </w:t>
      </w:r>
      <w:r w:rsidRPr="007B4B71">
        <w:rPr>
          <w:rFonts w:eastAsia="PMingLiU" w:cs="Calibri"/>
          <w:sz w:val="20"/>
          <w:szCs w:val="20"/>
          <w:lang w:eastAsia="zh-TW"/>
        </w:rPr>
        <w:t>Melbourne, October.</w:t>
      </w:r>
    </w:p>
    <w:p w:rsidR="00FE15DD" w:rsidRDefault="00FE15DD" w:rsidP="00563642">
      <w:pPr>
        <w:spacing w:after="120"/>
        <w:ind w:left="426" w:hanging="426"/>
        <w:rPr>
          <w:rFonts w:eastAsia="PMingLiU" w:cs="Calibri"/>
          <w:sz w:val="20"/>
          <w:szCs w:val="20"/>
          <w:lang w:eastAsia="zh-TW"/>
        </w:rPr>
      </w:pPr>
      <w:r w:rsidRPr="007B4B71">
        <w:rPr>
          <w:rFonts w:eastAsia="PMingLiU" w:cs="Calibri"/>
          <w:sz w:val="20"/>
          <w:szCs w:val="20"/>
          <w:lang w:eastAsia="zh-TW"/>
        </w:rPr>
        <w:t xml:space="preserve">Rasmussen, B., Sweeny, K. and Sheehan, P. </w:t>
      </w:r>
      <w:r w:rsidRPr="007A168B">
        <w:rPr>
          <w:sz w:val="20"/>
          <w:szCs w:val="20"/>
          <w:lang w:eastAsia="en-AU"/>
        </w:rPr>
        <w:t>2015b</w:t>
      </w:r>
      <w:r>
        <w:rPr>
          <w:sz w:val="20"/>
          <w:szCs w:val="20"/>
          <w:lang w:eastAsia="en-AU"/>
        </w:rPr>
        <w:t xml:space="preserve">, </w:t>
      </w:r>
      <w:r w:rsidRPr="007A168B">
        <w:rPr>
          <w:i/>
          <w:sz w:val="20"/>
          <w:szCs w:val="20"/>
          <w:lang w:eastAsia="en-AU"/>
        </w:rPr>
        <w:t>Cost of Early Retirement Due to Ill Health</w:t>
      </w:r>
      <w:r>
        <w:rPr>
          <w:sz w:val="20"/>
          <w:szCs w:val="20"/>
          <w:lang w:eastAsia="en-AU"/>
        </w:rPr>
        <w:t xml:space="preserve">, </w:t>
      </w:r>
      <w:r w:rsidRPr="007B4B71">
        <w:rPr>
          <w:rFonts w:eastAsia="PMingLiU" w:cs="Calibri"/>
          <w:sz w:val="20"/>
          <w:szCs w:val="20"/>
          <w:lang w:eastAsia="zh-TW"/>
        </w:rPr>
        <w:t xml:space="preserve">Report to the APEC Business Advisory Council and US Chamber of Commerce, VISES, </w:t>
      </w:r>
      <w:r w:rsidR="001E67E8" w:rsidRPr="001E67E8">
        <w:rPr>
          <w:rFonts w:eastAsia="PMingLiU" w:cs="Calibri"/>
          <w:sz w:val="20"/>
          <w:szCs w:val="20"/>
          <w:lang w:eastAsia="zh-TW"/>
        </w:rPr>
        <w:t xml:space="preserve">Victoria University, </w:t>
      </w:r>
      <w:r w:rsidRPr="007B4B71">
        <w:rPr>
          <w:rFonts w:eastAsia="PMingLiU" w:cs="Calibri"/>
          <w:sz w:val="20"/>
          <w:szCs w:val="20"/>
          <w:lang w:eastAsia="zh-TW"/>
        </w:rPr>
        <w:t xml:space="preserve">Melbourne, </w:t>
      </w:r>
      <w:r>
        <w:rPr>
          <w:rFonts w:eastAsia="PMingLiU" w:cs="Calibri"/>
          <w:sz w:val="20"/>
          <w:szCs w:val="20"/>
          <w:lang w:eastAsia="zh-TW"/>
        </w:rPr>
        <w:t>July</w:t>
      </w:r>
      <w:r w:rsidRPr="007B4B71">
        <w:rPr>
          <w:rFonts w:eastAsia="PMingLiU" w:cs="Calibri"/>
          <w:sz w:val="20"/>
          <w:szCs w:val="20"/>
          <w:lang w:eastAsia="zh-TW"/>
        </w:rPr>
        <w:t>.</w:t>
      </w:r>
    </w:p>
    <w:p w:rsidR="00210D42" w:rsidRPr="00210D42" w:rsidRDefault="00210D42" w:rsidP="00563642">
      <w:pPr>
        <w:spacing w:after="120"/>
        <w:ind w:left="426" w:hanging="426"/>
        <w:rPr>
          <w:rFonts w:eastAsia="PMingLiU" w:cs="Calibri"/>
          <w:sz w:val="20"/>
          <w:szCs w:val="20"/>
          <w:lang w:eastAsia="zh-TW"/>
        </w:rPr>
      </w:pPr>
      <w:r>
        <w:rPr>
          <w:rFonts w:eastAsia="PMingLiU" w:cs="Calibri"/>
          <w:sz w:val="20"/>
          <w:szCs w:val="20"/>
          <w:lang w:eastAsia="zh-TW"/>
        </w:rPr>
        <w:t xml:space="preserve">Rasmussen, B., Sweeny, K. and Sheehan, P. 2016, </w:t>
      </w:r>
      <w:r w:rsidRPr="0088478C">
        <w:rPr>
          <w:rFonts w:eastAsia="PMingLiU" w:cs="Calibri"/>
          <w:i/>
          <w:sz w:val="20"/>
          <w:szCs w:val="20"/>
          <w:lang w:eastAsia="zh-TW"/>
        </w:rPr>
        <w:t>Health and the Economy: The Impact of Wellness on Workforce Productivity in Global Markets</w:t>
      </w:r>
      <w:r>
        <w:rPr>
          <w:rFonts w:eastAsia="PMingLiU" w:cs="Calibri"/>
          <w:sz w:val="20"/>
          <w:szCs w:val="20"/>
          <w:lang w:eastAsia="zh-TW"/>
        </w:rPr>
        <w:t xml:space="preserve">, </w:t>
      </w:r>
      <w:r w:rsidRPr="00210D42">
        <w:rPr>
          <w:rFonts w:eastAsia="PMingLiU" w:cs="Calibri"/>
          <w:sz w:val="20"/>
          <w:szCs w:val="20"/>
          <w:lang w:eastAsia="zh-TW"/>
        </w:rPr>
        <w:t>Report to the U.S. Chamber of Commerce’s Global Initiative on Health and Economy</w:t>
      </w:r>
      <w:r>
        <w:rPr>
          <w:rFonts w:eastAsia="PMingLiU" w:cs="Calibri"/>
          <w:sz w:val="20"/>
          <w:szCs w:val="20"/>
          <w:lang w:eastAsia="zh-TW"/>
        </w:rPr>
        <w:t xml:space="preserve">, VISES, </w:t>
      </w:r>
      <w:r w:rsidR="001E67E8" w:rsidRPr="001E67E8">
        <w:rPr>
          <w:rFonts w:eastAsia="PMingLiU" w:cs="Calibri"/>
          <w:sz w:val="20"/>
          <w:szCs w:val="20"/>
          <w:lang w:eastAsia="zh-TW"/>
        </w:rPr>
        <w:t xml:space="preserve">Victoria University, </w:t>
      </w:r>
      <w:r>
        <w:rPr>
          <w:rFonts w:eastAsia="PMingLiU" w:cs="Calibri"/>
          <w:sz w:val="20"/>
          <w:szCs w:val="20"/>
          <w:lang w:eastAsia="zh-TW"/>
        </w:rPr>
        <w:t>Melbourne.</w:t>
      </w:r>
    </w:p>
    <w:p w:rsidR="00FE15DD" w:rsidRPr="007B4B71" w:rsidRDefault="00FE15DD" w:rsidP="00563642">
      <w:pPr>
        <w:spacing w:after="120"/>
        <w:ind w:left="426" w:hanging="426"/>
        <w:rPr>
          <w:rFonts w:eastAsia="MS Mincho" w:cs="Calibri"/>
          <w:noProof/>
          <w:sz w:val="20"/>
          <w:szCs w:val="20"/>
          <w:lang w:eastAsia="en-AU"/>
        </w:rPr>
      </w:pPr>
      <w:r w:rsidRPr="007B4B71">
        <w:rPr>
          <w:rFonts w:eastAsia="MS Mincho" w:cs="Calibri"/>
          <w:noProof/>
          <w:sz w:val="20"/>
          <w:szCs w:val="20"/>
          <w:lang w:eastAsia="en-AU"/>
        </w:rPr>
        <w:t xml:space="preserve">Salomon, J.A. et al. 2012, ‘Common values in assessing health outcomes from disease and injury: </w:t>
      </w:r>
      <w:r w:rsidR="0000631B">
        <w:rPr>
          <w:rFonts w:eastAsia="MS Mincho" w:cs="Calibri"/>
          <w:noProof/>
          <w:sz w:val="20"/>
          <w:szCs w:val="20"/>
          <w:lang w:eastAsia="en-AU"/>
        </w:rPr>
        <w:t>D</w:t>
      </w:r>
      <w:r w:rsidR="0000631B" w:rsidRPr="007B4B71">
        <w:rPr>
          <w:rFonts w:eastAsia="MS Mincho" w:cs="Calibri"/>
          <w:noProof/>
          <w:sz w:val="20"/>
          <w:szCs w:val="20"/>
          <w:lang w:eastAsia="en-AU"/>
        </w:rPr>
        <w:t xml:space="preserve">isability </w:t>
      </w:r>
      <w:r w:rsidRPr="007B4B71">
        <w:rPr>
          <w:rFonts w:eastAsia="MS Mincho" w:cs="Calibri"/>
          <w:noProof/>
          <w:sz w:val="20"/>
          <w:szCs w:val="20"/>
          <w:lang w:eastAsia="en-AU"/>
        </w:rPr>
        <w:t xml:space="preserve">weights measurement study for the Global Burden of Disease Study 2010’, </w:t>
      </w:r>
      <w:r w:rsidRPr="007B4B71">
        <w:rPr>
          <w:rFonts w:eastAsia="MS Mincho" w:cs="Calibri"/>
          <w:i/>
          <w:noProof/>
          <w:sz w:val="20"/>
          <w:szCs w:val="20"/>
          <w:lang w:eastAsia="en-AU"/>
        </w:rPr>
        <w:t>Lancet</w:t>
      </w:r>
      <w:r w:rsidRPr="007B4B71">
        <w:rPr>
          <w:rFonts w:eastAsia="MS Mincho" w:cs="Calibri"/>
          <w:noProof/>
          <w:sz w:val="20"/>
          <w:szCs w:val="20"/>
          <w:lang w:eastAsia="en-AU"/>
        </w:rPr>
        <w:t>, vol. 380, pp. 2129-2143.</w:t>
      </w:r>
    </w:p>
    <w:p w:rsidR="00C7079B" w:rsidRDefault="00C7079B" w:rsidP="00563642">
      <w:pPr>
        <w:spacing w:after="120"/>
        <w:ind w:left="426" w:hanging="426"/>
        <w:rPr>
          <w:rFonts w:eastAsia="PMingLiU" w:cs="Calibri"/>
          <w:sz w:val="20"/>
          <w:szCs w:val="20"/>
          <w:lang w:eastAsia="zh-TW"/>
        </w:rPr>
      </w:pPr>
      <w:proofErr w:type="spellStart"/>
      <w:r w:rsidRPr="00C7079B">
        <w:rPr>
          <w:rFonts w:eastAsia="PMingLiU" w:cs="Calibri"/>
          <w:sz w:val="20"/>
          <w:szCs w:val="20"/>
          <w:lang w:eastAsia="zh-TW"/>
        </w:rPr>
        <w:t>Santaeulalia-Llopis</w:t>
      </w:r>
      <w:proofErr w:type="spellEnd"/>
      <w:r w:rsidRPr="00C7079B">
        <w:rPr>
          <w:rFonts w:eastAsia="PMingLiU" w:cs="Calibri"/>
          <w:sz w:val="20"/>
          <w:szCs w:val="20"/>
          <w:lang w:eastAsia="zh-TW"/>
        </w:rPr>
        <w:t xml:space="preserve">, R. 2008, ‘Aggregate effects of AIDS on development’, University of Pennsylvania, Philadelphia, at </w:t>
      </w:r>
      <w:hyperlink r:id="rId24" w:history="1">
        <w:r w:rsidRPr="00E81A11">
          <w:rPr>
            <w:rStyle w:val="Hyperlink"/>
            <w:rFonts w:eastAsia="PMingLiU" w:cs="Calibri"/>
            <w:sz w:val="20"/>
            <w:szCs w:val="20"/>
            <w:lang w:eastAsia="zh-TW"/>
          </w:rPr>
          <w:t>https://scholar.google.com.au/scholar?q=Aggregate+Effects+of+AIDS+on+Development&amp;hl=en&amp;as_sdt=0&amp;as_vis=1&amp;oi=scholart&amp;sa=X&amp;ved=0ahUKEwiiivmjqYzSAhXJKZQKHWqYASQQgQMIGTAA</w:t>
        </w:r>
      </w:hyperlink>
      <w:r>
        <w:rPr>
          <w:rFonts w:eastAsia="PMingLiU" w:cs="Calibri"/>
          <w:sz w:val="20"/>
          <w:szCs w:val="20"/>
          <w:lang w:eastAsia="zh-TW"/>
        </w:rPr>
        <w:t xml:space="preserve"> </w:t>
      </w:r>
    </w:p>
    <w:p w:rsidR="004B6E2C" w:rsidRPr="001071FB" w:rsidRDefault="004B6E2C" w:rsidP="00396C98">
      <w:pPr>
        <w:spacing w:after="120"/>
        <w:ind w:left="425" w:hanging="425"/>
        <w:rPr>
          <w:sz w:val="20"/>
          <w:szCs w:val="20"/>
          <w:lang w:eastAsia="en-AU"/>
        </w:rPr>
      </w:pPr>
      <w:r w:rsidRPr="007B4B71">
        <w:rPr>
          <w:rFonts w:eastAsia="PMingLiU" w:cs="Calibri"/>
          <w:sz w:val="20"/>
          <w:szCs w:val="20"/>
          <w:lang w:eastAsia="zh-TW"/>
        </w:rPr>
        <w:lastRenderedPageBreak/>
        <w:t xml:space="preserve">Sheehan, P., Rasmussen, B. and Sweeny, K. 2014, </w:t>
      </w:r>
      <w:proofErr w:type="gramStart"/>
      <w:r w:rsidRPr="007B4B71">
        <w:rPr>
          <w:rFonts w:eastAsia="PMingLiU" w:cs="Calibri"/>
          <w:i/>
          <w:sz w:val="20"/>
          <w:szCs w:val="20"/>
          <w:lang w:eastAsia="zh-TW"/>
        </w:rPr>
        <w:t>The</w:t>
      </w:r>
      <w:proofErr w:type="gramEnd"/>
      <w:r w:rsidRPr="007B4B71">
        <w:rPr>
          <w:rFonts w:eastAsia="PMingLiU" w:cs="Calibri"/>
          <w:i/>
          <w:sz w:val="20"/>
          <w:szCs w:val="20"/>
          <w:lang w:eastAsia="zh-TW"/>
        </w:rPr>
        <w:t xml:space="preserve"> Impact of Health on Worker Attendance and Productivity in the APEC Region</w:t>
      </w:r>
      <w:r w:rsidRPr="007B4B71">
        <w:rPr>
          <w:rFonts w:eastAsia="PMingLiU" w:cs="Calibri"/>
          <w:sz w:val="20"/>
          <w:szCs w:val="20"/>
          <w:lang w:eastAsia="zh-TW"/>
        </w:rPr>
        <w:t xml:space="preserve">, Report to the APEC Business Advisory Council, VISES, </w:t>
      </w:r>
      <w:r w:rsidR="001E67E8" w:rsidRPr="001E67E8">
        <w:rPr>
          <w:rFonts w:eastAsia="PMingLiU" w:cs="Calibri"/>
          <w:sz w:val="20"/>
          <w:szCs w:val="20"/>
          <w:lang w:eastAsia="zh-TW"/>
        </w:rPr>
        <w:t xml:space="preserve">Victoria University, </w:t>
      </w:r>
      <w:r w:rsidRPr="007B4B71">
        <w:rPr>
          <w:rFonts w:eastAsia="PMingLiU" w:cs="Calibri"/>
          <w:sz w:val="20"/>
          <w:szCs w:val="20"/>
          <w:lang w:eastAsia="zh-TW"/>
        </w:rPr>
        <w:t>Melbourne, July</w:t>
      </w:r>
      <w:r w:rsidR="00263A42">
        <w:rPr>
          <w:rFonts w:eastAsia="PMingLiU" w:cs="Calibri"/>
          <w:sz w:val="20"/>
          <w:szCs w:val="20"/>
          <w:lang w:eastAsia="zh-TW"/>
        </w:rPr>
        <w:t>.</w:t>
      </w:r>
    </w:p>
    <w:p w:rsidR="004B6E2C" w:rsidRPr="007B4B71" w:rsidRDefault="004B6E2C" w:rsidP="00563642">
      <w:pPr>
        <w:spacing w:after="120"/>
        <w:ind w:left="426" w:hanging="426"/>
        <w:rPr>
          <w:rFonts w:eastAsia="PMingLiU" w:cs="Calibri"/>
          <w:sz w:val="20"/>
          <w:szCs w:val="20"/>
          <w:lang w:eastAsia="zh-TW"/>
        </w:rPr>
      </w:pPr>
      <w:r w:rsidRPr="001071FB">
        <w:rPr>
          <w:rFonts w:eastAsia="PMingLiU" w:cs="Calibri"/>
          <w:sz w:val="20"/>
          <w:szCs w:val="20"/>
          <w:lang w:eastAsia="zh-TW"/>
        </w:rPr>
        <w:t xml:space="preserve">Sweeny, K., Rasmussen, B. and Sheehan, P. 2015, </w:t>
      </w:r>
      <w:r w:rsidRPr="001071FB">
        <w:rPr>
          <w:rFonts w:eastAsia="PMingLiU" w:cs="Calibri"/>
          <w:i/>
          <w:sz w:val="20"/>
          <w:szCs w:val="20"/>
          <w:lang w:eastAsia="zh-TW"/>
        </w:rPr>
        <w:t>The Impact of Health on  Worker Attendance and Productivity in Twelve Countries</w:t>
      </w:r>
      <w:r w:rsidRPr="007B4B71">
        <w:rPr>
          <w:rFonts w:eastAsia="PMingLiU" w:cs="Calibri"/>
          <w:sz w:val="20"/>
          <w:szCs w:val="20"/>
          <w:lang w:eastAsia="zh-TW"/>
        </w:rPr>
        <w:t xml:space="preserve">, Report to the APEC Business Advisory Council and US Chamber of Commerce, VISES, </w:t>
      </w:r>
      <w:r w:rsidR="001E67E8" w:rsidRPr="001E67E8">
        <w:rPr>
          <w:rFonts w:eastAsia="PMingLiU" w:cs="Calibri"/>
          <w:sz w:val="20"/>
          <w:szCs w:val="20"/>
          <w:lang w:eastAsia="zh-TW"/>
        </w:rPr>
        <w:t xml:space="preserve">Victoria University, </w:t>
      </w:r>
      <w:r w:rsidRPr="007B4B71">
        <w:rPr>
          <w:rFonts w:eastAsia="PMingLiU" w:cs="Calibri"/>
          <w:sz w:val="20"/>
          <w:szCs w:val="20"/>
          <w:lang w:eastAsia="zh-TW"/>
        </w:rPr>
        <w:t>Melbourne, October.</w:t>
      </w:r>
    </w:p>
    <w:p w:rsidR="00C7079B" w:rsidRDefault="00C7079B" w:rsidP="00563642">
      <w:pPr>
        <w:spacing w:after="120"/>
        <w:ind w:left="425" w:hanging="425"/>
        <w:rPr>
          <w:sz w:val="20"/>
          <w:szCs w:val="20"/>
        </w:rPr>
      </w:pPr>
      <w:proofErr w:type="spellStart"/>
      <w:r w:rsidRPr="00C7079B">
        <w:rPr>
          <w:sz w:val="20"/>
          <w:szCs w:val="20"/>
        </w:rPr>
        <w:t>Thurlow</w:t>
      </w:r>
      <w:proofErr w:type="spellEnd"/>
      <w:r w:rsidRPr="00C7079B">
        <w:rPr>
          <w:sz w:val="20"/>
          <w:szCs w:val="20"/>
        </w:rPr>
        <w:t xml:space="preserve">, J., </w:t>
      </w:r>
      <w:proofErr w:type="spellStart"/>
      <w:r w:rsidRPr="00C7079B">
        <w:rPr>
          <w:sz w:val="20"/>
          <w:szCs w:val="20"/>
        </w:rPr>
        <w:t>Gow</w:t>
      </w:r>
      <w:proofErr w:type="spellEnd"/>
      <w:r w:rsidRPr="00C7079B">
        <w:rPr>
          <w:sz w:val="20"/>
          <w:szCs w:val="20"/>
        </w:rPr>
        <w:t xml:space="preserve">, J. and George, G. 2009, ‘HIV/AIDS, growth and poverty in KwaZulu-Natal and South Africa: </w:t>
      </w:r>
      <w:r w:rsidR="0000631B">
        <w:rPr>
          <w:sz w:val="20"/>
          <w:szCs w:val="20"/>
        </w:rPr>
        <w:t>A</w:t>
      </w:r>
      <w:r w:rsidR="0000631B" w:rsidRPr="00C7079B">
        <w:rPr>
          <w:sz w:val="20"/>
          <w:szCs w:val="20"/>
        </w:rPr>
        <w:t xml:space="preserve">n </w:t>
      </w:r>
      <w:r w:rsidRPr="00C7079B">
        <w:rPr>
          <w:sz w:val="20"/>
          <w:szCs w:val="20"/>
        </w:rPr>
        <w:t xml:space="preserve">integrated survey, demographic and economy-wide analysis’, </w:t>
      </w:r>
      <w:r w:rsidRPr="00700999">
        <w:rPr>
          <w:i/>
          <w:sz w:val="20"/>
          <w:szCs w:val="20"/>
        </w:rPr>
        <w:t>Journal of the International AIDS Society</w:t>
      </w:r>
      <w:r w:rsidRPr="00C7079B">
        <w:rPr>
          <w:sz w:val="20"/>
          <w:szCs w:val="20"/>
        </w:rPr>
        <w:t>, vol. 12, no. 18, DOI: 10.1186/1758-2652-12-18.</w:t>
      </w:r>
    </w:p>
    <w:p w:rsidR="00620021" w:rsidRDefault="00FE15DD" w:rsidP="00563642">
      <w:pPr>
        <w:spacing w:after="120"/>
        <w:ind w:left="425" w:hanging="425"/>
        <w:rPr>
          <w:sz w:val="20"/>
          <w:szCs w:val="20"/>
        </w:rPr>
      </w:pPr>
      <w:r w:rsidRPr="00C2429F">
        <w:rPr>
          <w:sz w:val="20"/>
          <w:szCs w:val="20"/>
        </w:rPr>
        <w:t xml:space="preserve">United Nations </w:t>
      </w:r>
      <w:r w:rsidR="00C2429F" w:rsidRPr="00C2429F">
        <w:rPr>
          <w:sz w:val="20"/>
          <w:szCs w:val="20"/>
        </w:rPr>
        <w:t>201</w:t>
      </w:r>
      <w:r w:rsidR="00C2429F" w:rsidRPr="0088478C">
        <w:rPr>
          <w:sz w:val="20"/>
          <w:szCs w:val="20"/>
        </w:rPr>
        <w:t>5</w:t>
      </w:r>
      <w:r w:rsidRPr="00C2429F">
        <w:rPr>
          <w:sz w:val="20"/>
          <w:szCs w:val="20"/>
        </w:rPr>
        <w:t xml:space="preserve">, ‘World Population Prospects: The </w:t>
      </w:r>
      <w:r w:rsidR="00C2429F" w:rsidRPr="00C2429F">
        <w:rPr>
          <w:sz w:val="20"/>
          <w:szCs w:val="20"/>
        </w:rPr>
        <w:t>201</w:t>
      </w:r>
      <w:r w:rsidR="00C2429F" w:rsidRPr="0088478C">
        <w:rPr>
          <w:sz w:val="20"/>
          <w:szCs w:val="20"/>
        </w:rPr>
        <w:t>5</w:t>
      </w:r>
      <w:r w:rsidR="00C2429F" w:rsidRPr="00C2429F">
        <w:rPr>
          <w:sz w:val="20"/>
          <w:szCs w:val="20"/>
        </w:rPr>
        <w:t xml:space="preserve"> </w:t>
      </w:r>
      <w:r w:rsidRPr="00C2429F">
        <w:rPr>
          <w:sz w:val="20"/>
          <w:szCs w:val="20"/>
        </w:rPr>
        <w:t xml:space="preserve">Revision’, Department of Economic and Social Affairs, Population Division, Populations Estimates and Projections Section, New York, at </w:t>
      </w:r>
      <w:hyperlink r:id="rId25" w:history="1">
        <w:r w:rsidR="00C2429F" w:rsidRPr="004E527A">
          <w:rPr>
            <w:rStyle w:val="Hyperlink"/>
            <w:sz w:val="20"/>
            <w:szCs w:val="20"/>
          </w:rPr>
          <w:t>http://esa.un.org/unpd/wpp/</w:t>
        </w:r>
      </w:hyperlink>
      <w:r w:rsidR="00C2429F">
        <w:rPr>
          <w:sz w:val="20"/>
          <w:szCs w:val="20"/>
        </w:rPr>
        <w:t xml:space="preserve"> </w:t>
      </w:r>
    </w:p>
    <w:sectPr w:rsidR="00620021" w:rsidSect="001071FB">
      <w:footerReference w:type="default" r:id="rId26"/>
      <w:pgSz w:w="12242" w:h="15842" w:code="1"/>
      <w:pgMar w:top="1440" w:right="1440" w:bottom="1440" w:left="1440"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4416" w:rsidRDefault="00494416" w:rsidP="00206C4D">
      <w:pPr>
        <w:spacing w:after="0" w:line="240" w:lineRule="auto"/>
      </w:pPr>
      <w:r>
        <w:separator/>
      </w:r>
    </w:p>
  </w:endnote>
  <w:endnote w:type="continuationSeparator" w:id="0">
    <w:p w:rsidR="00494416" w:rsidRDefault="00494416" w:rsidP="00206C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5CB1" w:rsidRDefault="005E5CB1">
    <w:pPr>
      <w:pStyle w:val="Footer"/>
      <w:jc w:val="center"/>
    </w:pPr>
  </w:p>
  <w:p w:rsidR="005E5CB1" w:rsidRDefault="005E5CB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60905887"/>
      <w:docPartObj>
        <w:docPartGallery w:val="Page Numbers (Bottom of Page)"/>
        <w:docPartUnique/>
      </w:docPartObj>
    </w:sdtPr>
    <w:sdtEndPr>
      <w:rPr>
        <w:noProof/>
      </w:rPr>
    </w:sdtEndPr>
    <w:sdtContent>
      <w:p w:rsidR="005E5CB1" w:rsidRDefault="005E5CB1">
        <w:pPr>
          <w:pStyle w:val="Footer"/>
          <w:jc w:val="center"/>
        </w:pPr>
        <w:r w:rsidRPr="0088478C">
          <w:rPr>
            <w:sz w:val="20"/>
            <w:szCs w:val="20"/>
          </w:rPr>
          <w:fldChar w:fldCharType="begin"/>
        </w:r>
        <w:r w:rsidRPr="0088478C">
          <w:rPr>
            <w:sz w:val="20"/>
            <w:szCs w:val="20"/>
          </w:rPr>
          <w:instrText xml:space="preserve"> PAGE   \* MERGEFORMAT </w:instrText>
        </w:r>
        <w:r w:rsidRPr="0088478C">
          <w:rPr>
            <w:sz w:val="20"/>
            <w:szCs w:val="20"/>
          </w:rPr>
          <w:fldChar w:fldCharType="separate"/>
        </w:r>
        <w:r w:rsidR="00AB1E52">
          <w:rPr>
            <w:noProof/>
            <w:sz w:val="20"/>
            <w:szCs w:val="20"/>
          </w:rPr>
          <w:t>16</w:t>
        </w:r>
        <w:r w:rsidRPr="0088478C">
          <w:rPr>
            <w:noProof/>
            <w:sz w:val="20"/>
            <w:szCs w:val="20"/>
          </w:rPr>
          <w:fldChar w:fldCharType="end"/>
        </w:r>
      </w:p>
    </w:sdtContent>
  </w:sdt>
  <w:p w:rsidR="005E5CB1" w:rsidRDefault="005E5C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4416" w:rsidRDefault="00494416" w:rsidP="00206C4D">
      <w:pPr>
        <w:spacing w:after="0" w:line="240" w:lineRule="auto"/>
      </w:pPr>
      <w:r>
        <w:separator/>
      </w:r>
    </w:p>
  </w:footnote>
  <w:footnote w:type="continuationSeparator" w:id="0">
    <w:p w:rsidR="00494416" w:rsidRDefault="00494416" w:rsidP="00206C4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1336F"/>
    <w:multiLevelType w:val="hybridMultilevel"/>
    <w:tmpl w:val="DA1AAD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45116FC"/>
    <w:multiLevelType w:val="hybridMultilevel"/>
    <w:tmpl w:val="08E82C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7A379E0"/>
    <w:multiLevelType w:val="hybridMultilevel"/>
    <w:tmpl w:val="172EAC4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7DD333E"/>
    <w:multiLevelType w:val="hybridMultilevel"/>
    <w:tmpl w:val="FEA817E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 w15:restartNumberingAfterBreak="0">
    <w:nsid w:val="1935362B"/>
    <w:multiLevelType w:val="hybridMultilevel"/>
    <w:tmpl w:val="BD8AEB6E"/>
    <w:lvl w:ilvl="0" w:tplc="0C09000F">
      <w:start w:val="1"/>
      <w:numFmt w:val="decimal"/>
      <w:lvlText w:val="%1."/>
      <w:lvlJc w:val="left"/>
      <w:pPr>
        <w:ind w:left="1082" w:hanging="360"/>
      </w:pPr>
      <w:rPr>
        <w:rFonts w:hint="default"/>
      </w:rPr>
    </w:lvl>
    <w:lvl w:ilvl="1" w:tplc="04090019" w:tentative="1">
      <w:start w:val="1"/>
      <w:numFmt w:val="lowerLetter"/>
      <w:lvlText w:val="%2."/>
      <w:lvlJc w:val="left"/>
      <w:pPr>
        <w:ind w:left="1801" w:hanging="360"/>
      </w:pPr>
    </w:lvl>
    <w:lvl w:ilvl="2" w:tplc="0409001B" w:tentative="1">
      <w:start w:val="1"/>
      <w:numFmt w:val="lowerRoman"/>
      <w:lvlText w:val="%3."/>
      <w:lvlJc w:val="right"/>
      <w:pPr>
        <w:ind w:left="2521" w:hanging="180"/>
      </w:pPr>
    </w:lvl>
    <w:lvl w:ilvl="3" w:tplc="0409000F" w:tentative="1">
      <w:start w:val="1"/>
      <w:numFmt w:val="decimal"/>
      <w:lvlText w:val="%4."/>
      <w:lvlJc w:val="left"/>
      <w:pPr>
        <w:ind w:left="3241" w:hanging="360"/>
      </w:pPr>
    </w:lvl>
    <w:lvl w:ilvl="4" w:tplc="04090019" w:tentative="1">
      <w:start w:val="1"/>
      <w:numFmt w:val="lowerLetter"/>
      <w:lvlText w:val="%5."/>
      <w:lvlJc w:val="left"/>
      <w:pPr>
        <w:ind w:left="3961" w:hanging="360"/>
      </w:pPr>
    </w:lvl>
    <w:lvl w:ilvl="5" w:tplc="0409001B" w:tentative="1">
      <w:start w:val="1"/>
      <w:numFmt w:val="lowerRoman"/>
      <w:lvlText w:val="%6."/>
      <w:lvlJc w:val="right"/>
      <w:pPr>
        <w:ind w:left="4681" w:hanging="180"/>
      </w:pPr>
    </w:lvl>
    <w:lvl w:ilvl="6" w:tplc="0409000F" w:tentative="1">
      <w:start w:val="1"/>
      <w:numFmt w:val="decimal"/>
      <w:lvlText w:val="%7."/>
      <w:lvlJc w:val="left"/>
      <w:pPr>
        <w:ind w:left="5401" w:hanging="360"/>
      </w:pPr>
    </w:lvl>
    <w:lvl w:ilvl="7" w:tplc="04090019" w:tentative="1">
      <w:start w:val="1"/>
      <w:numFmt w:val="lowerLetter"/>
      <w:lvlText w:val="%8."/>
      <w:lvlJc w:val="left"/>
      <w:pPr>
        <w:ind w:left="6121" w:hanging="360"/>
      </w:pPr>
    </w:lvl>
    <w:lvl w:ilvl="8" w:tplc="0409001B" w:tentative="1">
      <w:start w:val="1"/>
      <w:numFmt w:val="lowerRoman"/>
      <w:lvlText w:val="%9."/>
      <w:lvlJc w:val="right"/>
      <w:pPr>
        <w:ind w:left="6841" w:hanging="180"/>
      </w:pPr>
    </w:lvl>
  </w:abstractNum>
  <w:abstractNum w:abstractNumId="5" w15:restartNumberingAfterBreak="0">
    <w:nsid w:val="1E7770E6"/>
    <w:multiLevelType w:val="hybridMultilevel"/>
    <w:tmpl w:val="5496862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F3B5FBA"/>
    <w:multiLevelType w:val="hybridMultilevel"/>
    <w:tmpl w:val="6C740FE8"/>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7" w15:restartNumberingAfterBreak="0">
    <w:nsid w:val="22B64FA5"/>
    <w:multiLevelType w:val="hybridMultilevel"/>
    <w:tmpl w:val="E1B459DA"/>
    <w:lvl w:ilvl="0" w:tplc="0409000F">
      <w:start w:val="1"/>
      <w:numFmt w:val="decimal"/>
      <w:lvlText w:val="%1."/>
      <w:lvlJc w:val="left"/>
      <w:pPr>
        <w:ind w:left="644" w:hanging="360"/>
      </w:pPr>
    </w:lvl>
    <w:lvl w:ilvl="1" w:tplc="04090019" w:tentative="1">
      <w:start w:val="1"/>
      <w:numFmt w:val="lowerLetter"/>
      <w:lvlText w:val="%2."/>
      <w:lvlJc w:val="left"/>
      <w:pPr>
        <w:ind w:left="1441" w:hanging="360"/>
      </w:pPr>
    </w:lvl>
    <w:lvl w:ilvl="2" w:tplc="0409001B" w:tentative="1">
      <w:start w:val="1"/>
      <w:numFmt w:val="lowerRoman"/>
      <w:lvlText w:val="%3."/>
      <w:lvlJc w:val="right"/>
      <w:pPr>
        <w:ind w:left="2161" w:hanging="180"/>
      </w:pPr>
    </w:lvl>
    <w:lvl w:ilvl="3" w:tplc="0409000F" w:tentative="1">
      <w:start w:val="1"/>
      <w:numFmt w:val="decimal"/>
      <w:lvlText w:val="%4."/>
      <w:lvlJc w:val="left"/>
      <w:pPr>
        <w:ind w:left="2881" w:hanging="360"/>
      </w:pPr>
    </w:lvl>
    <w:lvl w:ilvl="4" w:tplc="04090019" w:tentative="1">
      <w:start w:val="1"/>
      <w:numFmt w:val="lowerLetter"/>
      <w:lvlText w:val="%5."/>
      <w:lvlJc w:val="left"/>
      <w:pPr>
        <w:ind w:left="3601" w:hanging="360"/>
      </w:pPr>
    </w:lvl>
    <w:lvl w:ilvl="5" w:tplc="0409001B" w:tentative="1">
      <w:start w:val="1"/>
      <w:numFmt w:val="lowerRoman"/>
      <w:lvlText w:val="%6."/>
      <w:lvlJc w:val="right"/>
      <w:pPr>
        <w:ind w:left="4321" w:hanging="180"/>
      </w:pPr>
    </w:lvl>
    <w:lvl w:ilvl="6" w:tplc="0409000F" w:tentative="1">
      <w:start w:val="1"/>
      <w:numFmt w:val="decimal"/>
      <w:lvlText w:val="%7."/>
      <w:lvlJc w:val="left"/>
      <w:pPr>
        <w:ind w:left="5041" w:hanging="360"/>
      </w:pPr>
    </w:lvl>
    <w:lvl w:ilvl="7" w:tplc="04090019" w:tentative="1">
      <w:start w:val="1"/>
      <w:numFmt w:val="lowerLetter"/>
      <w:lvlText w:val="%8."/>
      <w:lvlJc w:val="left"/>
      <w:pPr>
        <w:ind w:left="5761" w:hanging="360"/>
      </w:pPr>
    </w:lvl>
    <w:lvl w:ilvl="8" w:tplc="0409001B" w:tentative="1">
      <w:start w:val="1"/>
      <w:numFmt w:val="lowerRoman"/>
      <w:lvlText w:val="%9."/>
      <w:lvlJc w:val="right"/>
      <w:pPr>
        <w:ind w:left="6481" w:hanging="180"/>
      </w:pPr>
    </w:lvl>
  </w:abstractNum>
  <w:abstractNum w:abstractNumId="8" w15:restartNumberingAfterBreak="0">
    <w:nsid w:val="25C22DB6"/>
    <w:multiLevelType w:val="hybridMultilevel"/>
    <w:tmpl w:val="B284E3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A6104C"/>
    <w:multiLevelType w:val="hybridMultilevel"/>
    <w:tmpl w:val="EB523604"/>
    <w:lvl w:ilvl="0" w:tplc="0409000F">
      <w:start w:val="1"/>
      <w:numFmt w:val="decimal"/>
      <w:lvlText w:val="%1."/>
      <w:lvlJc w:val="left"/>
      <w:pPr>
        <w:ind w:left="1441" w:hanging="360"/>
      </w:pPr>
    </w:lvl>
    <w:lvl w:ilvl="1" w:tplc="04090019" w:tentative="1">
      <w:start w:val="1"/>
      <w:numFmt w:val="lowerLetter"/>
      <w:lvlText w:val="%2."/>
      <w:lvlJc w:val="left"/>
      <w:pPr>
        <w:ind w:left="2161" w:hanging="360"/>
      </w:pPr>
    </w:lvl>
    <w:lvl w:ilvl="2" w:tplc="0409001B" w:tentative="1">
      <w:start w:val="1"/>
      <w:numFmt w:val="lowerRoman"/>
      <w:lvlText w:val="%3."/>
      <w:lvlJc w:val="right"/>
      <w:pPr>
        <w:ind w:left="2881" w:hanging="180"/>
      </w:pPr>
    </w:lvl>
    <w:lvl w:ilvl="3" w:tplc="0409000F" w:tentative="1">
      <w:start w:val="1"/>
      <w:numFmt w:val="decimal"/>
      <w:lvlText w:val="%4."/>
      <w:lvlJc w:val="left"/>
      <w:pPr>
        <w:ind w:left="3601" w:hanging="360"/>
      </w:pPr>
    </w:lvl>
    <w:lvl w:ilvl="4" w:tplc="04090019" w:tentative="1">
      <w:start w:val="1"/>
      <w:numFmt w:val="lowerLetter"/>
      <w:lvlText w:val="%5."/>
      <w:lvlJc w:val="left"/>
      <w:pPr>
        <w:ind w:left="4321" w:hanging="360"/>
      </w:pPr>
    </w:lvl>
    <w:lvl w:ilvl="5" w:tplc="0409001B" w:tentative="1">
      <w:start w:val="1"/>
      <w:numFmt w:val="lowerRoman"/>
      <w:lvlText w:val="%6."/>
      <w:lvlJc w:val="right"/>
      <w:pPr>
        <w:ind w:left="5041" w:hanging="180"/>
      </w:pPr>
    </w:lvl>
    <w:lvl w:ilvl="6" w:tplc="0409000F" w:tentative="1">
      <w:start w:val="1"/>
      <w:numFmt w:val="decimal"/>
      <w:lvlText w:val="%7."/>
      <w:lvlJc w:val="left"/>
      <w:pPr>
        <w:ind w:left="5761" w:hanging="360"/>
      </w:pPr>
    </w:lvl>
    <w:lvl w:ilvl="7" w:tplc="04090019" w:tentative="1">
      <w:start w:val="1"/>
      <w:numFmt w:val="lowerLetter"/>
      <w:lvlText w:val="%8."/>
      <w:lvlJc w:val="left"/>
      <w:pPr>
        <w:ind w:left="6481" w:hanging="360"/>
      </w:pPr>
    </w:lvl>
    <w:lvl w:ilvl="8" w:tplc="0409001B" w:tentative="1">
      <w:start w:val="1"/>
      <w:numFmt w:val="lowerRoman"/>
      <w:lvlText w:val="%9."/>
      <w:lvlJc w:val="right"/>
      <w:pPr>
        <w:ind w:left="7201" w:hanging="180"/>
      </w:pPr>
    </w:lvl>
  </w:abstractNum>
  <w:abstractNum w:abstractNumId="10" w15:restartNumberingAfterBreak="0">
    <w:nsid w:val="2C306E1C"/>
    <w:multiLevelType w:val="hybridMultilevel"/>
    <w:tmpl w:val="EA683B74"/>
    <w:lvl w:ilvl="0" w:tplc="84F8BCE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C9038C2"/>
    <w:multiLevelType w:val="hybridMultilevel"/>
    <w:tmpl w:val="359615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F8E28FD"/>
    <w:multiLevelType w:val="hybridMultilevel"/>
    <w:tmpl w:val="0A083080"/>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13" w15:restartNumberingAfterBreak="0">
    <w:nsid w:val="363D0309"/>
    <w:multiLevelType w:val="hybridMultilevel"/>
    <w:tmpl w:val="2DD829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93E488B"/>
    <w:multiLevelType w:val="hybridMultilevel"/>
    <w:tmpl w:val="763A06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970365F"/>
    <w:multiLevelType w:val="hybridMultilevel"/>
    <w:tmpl w:val="4882F512"/>
    <w:lvl w:ilvl="0" w:tplc="398E7080">
      <w:start w:val="1"/>
      <w:numFmt w:val="bullet"/>
      <w:lvlText w:val="–"/>
      <w:lvlJc w:val="left"/>
      <w:pPr>
        <w:tabs>
          <w:tab w:val="num" w:pos="720"/>
        </w:tabs>
        <w:ind w:left="720" w:hanging="360"/>
      </w:pPr>
      <w:rPr>
        <w:rFonts w:ascii="Arial" w:hAnsi="Arial" w:hint="default"/>
      </w:rPr>
    </w:lvl>
    <w:lvl w:ilvl="1" w:tplc="45CAE71C">
      <w:start w:val="1"/>
      <w:numFmt w:val="bullet"/>
      <w:lvlText w:val="–"/>
      <w:lvlJc w:val="left"/>
      <w:pPr>
        <w:tabs>
          <w:tab w:val="num" w:pos="1440"/>
        </w:tabs>
        <w:ind w:left="1440" w:hanging="360"/>
      </w:pPr>
      <w:rPr>
        <w:rFonts w:ascii="Arial" w:hAnsi="Arial" w:hint="default"/>
      </w:rPr>
    </w:lvl>
    <w:lvl w:ilvl="2" w:tplc="A654503A" w:tentative="1">
      <w:start w:val="1"/>
      <w:numFmt w:val="bullet"/>
      <w:lvlText w:val="–"/>
      <w:lvlJc w:val="left"/>
      <w:pPr>
        <w:tabs>
          <w:tab w:val="num" w:pos="2160"/>
        </w:tabs>
        <w:ind w:left="2160" w:hanging="360"/>
      </w:pPr>
      <w:rPr>
        <w:rFonts w:ascii="Arial" w:hAnsi="Arial" w:hint="default"/>
      </w:rPr>
    </w:lvl>
    <w:lvl w:ilvl="3" w:tplc="1BAA92F6" w:tentative="1">
      <w:start w:val="1"/>
      <w:numFmt w:val="bullet"/>
      <w:lvlText w:val="–"/>
      <w:lvlJc w:val="left"/>
      <w:pPr>
        <w:tabs>
          <w:tab w:val="num" w:pos="2880"/>
        </w:tabs>
        <w:ind w:left="2880" w:hanging="360"/>
      </w:pPr>
      <w:rPr>
        <w:rFonts w:ascii="Arial" w:hAnsi="Arial" w:hint="default"/>
      </w:rPr>
    </w:lvl>
    <w:lvl w:ilvl="4" w:tplc="63647A48" w:tentative="1">
      <w:start w:val="1"/>
      <w:numFmt w:val="bullet"/>
      <w:lvlText w:val="–"/>
      <w:lvlJc w:val="left"/>
      <w:pPr>
        <w:tabs>
          <w:tab w:val="num" w:pos="3600"/>
        </w:tabs>
        <w:ind w:left="3600" w:hanging="360"/>
      </w:pPr>
      <w:rPr>
        <w:rFonts w:ascii="Arial" w:hAnsi="Arial" w:hint="default"/>
      </w:rPr>
    </w:lvl>
    <w:lvl w:ilvl="5" w:tplc="8CA29080" w:tentative="1">
      <w:start w:val="1"/>
      <w:numFmt w:val="bullet"/>
      <w:lvlText w:val="–"/>
      <w:lvlJc w:val="left"/>
      <w:pPr>
        <w:tabs>
          <w:tab w:val="num" w:pos="4320"/>
        </w:tabs>
        <w:ind w:left="4320" w:hanging="360"/>
      </w:pPr>
      <w:rPr>
        <w:rFonts w:ascii="Arial" w:hAnsi="Arial" w:hint="default"/>
      </w:rPr>
    </w:lvl>
    <w:lvl w:ilvl="6" w:tplc="0916E4AC" w:tentative="1">
      <w:start w:val="1"/>
      <w:numFmt w:val="bullet"/>
      <w:lvlText w:val="–"/>
      <w:lvlJc w:val="left"/>
      <w:pPr>
        <w:tabs>
          <w:tab w:val="num" w:pos="5040"/>
        </w:tabs>
        <w:ind w:left="5040" w:hanging="360"/>
      </w:pPr>
      <w:rPr>
        <w:rFonts w:ascii="Arial" w:hAnsi="Arial" w:hint="default"/>
      </w:rPr>
    </w:lvl>
    <w:lvl w:ilvl="7" w:tplc="2982A910" w:tentative="1">
      <w:start w:val="1"/>
      <w:numFmt w:val="bullet"/>
      <w:lvlText w:val="–"/>
      <w:lvlJc w:val="left"/>
      <w:pPr>
        <w:tabs>
          <w:tab w:val="num" w:pos="5760"/>
        </w:tabs>
        <w:ind w:left="5760" w:hanging="360"/>
      </w:pPr>
      <w:rPr>
        <w:rFonts w:ascii="Arial" w:hAnsi="Arial" w:hint="default"/>
      </w:rPr>
    </w:lvl>
    <w:lvl w:ilvl="8" w:tplc="3D58A75C"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3AB90296"/>
    <w:multiLevelType w:val="hybridMultilevel"/>
    <w:tmpl w:val="DB3083E6"/>
    <w:lvl w:ilvl="0" w:tplc="04090001">
      <w:start w:val="1"/>
      <w:numFmt w:val="bullet"/>
      <w:lvlText w:val=""/>
      <w:lvlJc w:val="left"/>
      <w:pPr>
        <w:ind w:left="1441" w:hanging="360"/>
      </w:pPr>
      <w:rPr>
        <w:rFonts w:ascii="Symbol" w:hAnsi="Symbol" w:hint="default"/>
      </w:rPr>
    </w:lvl>
    <w:lvl w:ilvl="1" w:tplc="04090003" w:tentative="1">
      <w:start w:val="1"/>
      <w:numFmt w:val="bullet"/>
      <w:lvlText w:val="o"/>
      <w:lvlJc w:val="left"/>
      <w:pPr>
        <w:ind w:left="2161" w:hanging="360"/>
      </w:pPr>
      <w:rPr>
        <w:rFonts w:ascii="Courier New" w:hAnsi="Courier New" w:hint="default"/>
      </w:rPr>
    </w:lvl>
    <w:lvl w:ilvl="2" w:tplc="04090005" w:tentative="1">
      <w:start w:val="1"/>
      <w:numFmt w:val="bullet"/>
      <w:lvlText w:val=""/>
      <w:lvlJc w:val="left"/>
      <w:pPr>
        <w:ind w:left="2881" w:hanging="360"/>
      </w:pPr>
      <w:rPr>
        <w:rFonts w:ascii="Wingdings" w:hAnsi="Wingdings" w:hint="default"/>
      </w:rPr>
    </w:lvl>
    <w:lvl w:ilvl="3" w:tplc="04090001" w:tentative="1">
      <w:start w:val="1"/>
      <w:numFmt w:val="bullet"/>
      <w:lvlText w:val=""/>
      <w:lvlJc w:val="left"/>
      <w:pPr>
        <w:ind w:left="3601" w:hanging="360"/>
      </w:pPr>
      <w:rPr>
        <w:rFonts w:ascii="Symbol" w:hAnsi="Symbol" w:hint="default"/>
      </w:rPr>
    </w:lvl>
    <w:lvl w:ilvl="4" w:tplc="04090003" w:tentative="1">
      <w:start w:val="1"/>
      <w:numFmt w:val="bullet"/>
      <w:lvlText w:val="o"/>
      <w:lvlJc w:val="left"/>
      <w:pPr>
        <w:ind w:left="4321" w:hanging="360"/>
      </w:pPr>
      <w:rPr>
        <w:rFonts w:ascii="Courier New" w:hAnsi="Courier New" w:hint="default"/>
      </w:rPr>
    </w:lvl>
    <w:lvl w:ilvl="5" w:tplc="04090005" w:tentative="1">
      <w:start w:val="1"/>
      <w:numFmt w:val="bullet"/>
      <w:lvlText w:val=""/>
      <w:lvlJc w:val="left"/>
      <w:pPr>
        <w:ind w:left="5041" w:hanging="360"/>
      </w:pPr>
      <w:rPr>
        <w:rFonts w:ascii="Wingdings" w:hAnsi="Wingdings" w:hint="default"/>
      </w:rPr>
    </w:lvl>
    <w:lvl w:ilvl="6" w:tplc="04090001" w:tentative="1">
      <w:start w:val="1"/>
      <w:numFmt w:val="bullet"/>
      <w:lvlText w:val=""/>
      <w:lvlJc w:val="left"/>
      <w:pPr>
        <w:ind w:left="5761" w:hanging="360"/>
      </w:pPr>
      <w:rPr>
        <w:rFonts w:ascii="Symbol" w:hAnsi="Symbol" w:hint="default"/>
      </w:rPr>
    </w:lvl>
    <w:lvl w:ilvl="7" w:tplc="04090003" w:tentative="1">
      <w:start w:val="1"/>
      <w:numFmt w:val="bullet"/>
      <w:lvlText w:val="o"/>
      <w:lvlJc w:val="left"/>
      <w:pPr>
        <w:ind w:left="6481" w:hanging="360"/>
      </w:pPr>
      <w:rPr>
        <w:rFonts w:ascii="Courier New" w:hAnsi="Courier New" w:hint="default"/>
      </w:rPr>
    </w:lvl>
    <w:lvl w:ilvl="8" w:tplc="04090005" w:tentative="1">
      <w:start w:val="1"/>
      <w:numFmt w:val="bullet"/>
      <w:lvlText w:val=""/>
      <w:lvlJc w:val="left"/>
      <w:pPr>
        <w:ind w:left="7201" w:hanging="360"/>
      </w:pPr>
      <w:rPr>
        <w:rFonts w:ascii="Wingdings" w:hAnsi="Wingdings" w:hint="default"/>
      </w:rPr>
    </w:lvl>
  </w:abstractNum>
  <w:abstractNum w:abstractNumId="17" w15:restartNumberingAfterBreak="0">
    <w:nsid w:val="3B3A65FC"/>
    <w:multiLevelType w:val="hybridMultilevel"/>
    <w:tmpl w:val="70328654"/>
    <w:lvl w:ilvl="0" w:tplc="E256B4FE">
      <w:start w:val="1"/>
      <w:numFmt w:val="bullet"/>
      <w:lvlText w:val="–"/>
      <w:lvlJc w:val="left"/>
      <w:pPr>
        <w:tabs>
          <w:tab w:val="num" w:pos="720"/>
        </w:tabs>
        <w:ind w:left="720" w:hanging="360"/>
      </w:pPr>
      <w:rPr>
        <w:rFonts w:ascii="Arial" w:hAnsi="Arial" w:hint="default"/>
      </w:rPr>
    </w:lvl>
    <w:lvl w:ilvl="1" w:tplc="E47CE53C">
      <w:start w:val="1"/>
      <w:numFmt w:val="bullet"/>
      <w:lvlText w:val="–"/>
      <w:lvlJc w:val="left"/>
      <w:pPr>
        <w:tabs>
          <w:tab w:val="num" w:pos="1440"/>
        </w:tabs>
        <w:ind w:left="1440" w:hanging="360"/>
      </w:pPr>
      <w:rPr>
        <w:rFonts w:ascii="Arial" w:hAnsi="Arial" w:hint="default"/>
      </w:rPr>
    </w:lvl>
    <w:lvl w:ilvl="2" w:tplc="B7FA984E" w:tentative="1">
      <w:start w:val="1"/>
      <w:numFmt w:val="bullet"/>
      <w:lvlText w:val="–"/>
      <w:lvlJc w:val="left"/>
      <w:pPr>
        <w:tabs>
          <w:tab w:val="num" w:pos="2160"/>
        </w:tabs>
        <w:ind w:left="2160" w:hanging="360"/>
      </w:pPr>
      <w:rPr>
        <w:rFonts w:ascii="Arial" w:hAnsi="Arial" w:hint="default"/>
      </w:rPr>
    </w:lvl>
    <w:lvl w:ilvl="3" w:tplc="4C8850EA" w:tentative="1">
      <w:start w:val="1"/>
      <w:numFmt w:val="bullet"/>
      <w:lvlText w:val="–"/>
      <w:lvlJc w:val="left"/>
      <w:pPr>
        <w:tabs>
          <w:tab w:val="num" w:pos="2880"/>
        </w:tabs>
        <w:ind w:left="2880" w:hanging="360"/>
      </w:pPr>
      <w:rPr>
        <w:rFonts w:ascii="Arial" w:hAnsi="Arial" w:hint="default"/>
      </w:rPr>
    </w:lvl>
    <w:lvl w:ilvl="4" w:tplc="79EE3054" w:tentative="1">
      <w:start w:val="1"/>
      <w:numFmt w:val="bullet"/>
      <w:lvlText w:val="–"/>
      <w:lvlJc w:val="left"/>
      <w:pPr>
        <w:tabs>
          <w:tab w:val="num" w:pos="3600"/>
        </w:tabs>
        <w:ind w:left="3600" w:hanging="360"/>
      </w:pPr>
      <w:rPr>
        <w:rFonts w:ascii="Arial" w:hAnsi="Arial" w:hint="default"/>
      </w:rPr>
    </w:lvl>
    <w:lvl w:ilvl="5" w:tplc="5DFAC28A" w:tentative="1">
      <w:start w:val="1"/>
      <w:numFmt w:val="bullet"/>
      <w:lvlText w:val="–"/>
      <w:lvlJc w:val="left"/>
      <w:pPr>
        <w:tabs>
          <w:tab w:val="num" w:pos="4320"/>
        </w:tabs>
        <w:ind w:left="4320" w:hanging="360"/>
      </w:pPr>
      <w:rPr>
        <w:rFonts w:ascii="Arial" w:hAnsi="Arial" w:hint="default"/>
      </w:rPr>
    </w:lvl>
    <w:lvl w:ilvl="6" w:tplc="BF385174" w:tentative="1">
      <w:start w:val="1"/>
      <w:numFmt w:val="bullet"/>
      <w:lvlText w:val="–"/>
      <w:lvlJc w:val="left"/>
      <w:pPr>
        <w:tabs>
          <w:tab w:val="num" w:pos="5040"/>
        </w:tabs>
        <w:ind w:left="5040" w:hanging="360"/>
      </w:pPr>
      <w:rPr>
        <w:rFonts w:ascii="Arial" w:hAnsi="Arial" w:hint="default"/>
      </w:rPr>
    </w:lvl>
    <w:lvl w:ilvl="7" w:tplc="1F7E8C54" w:tentative="1">
      <w:start w:val="1"/>
      <w:numFmt w:val="bullet"/>
      <w:lvlText w:val="–"/>
      <w:lvlJc w:val="left"/>
      <w:pPr>
        <w:tabs>
          <w:tab w:val="num" w:pos="5760"/>
        </w:tabs>
        <w:ind w:left="5760" w:hanging="360"/>
      </w:pPr>
      <w:rPr>
        <w:rFonts w:ascii="Arial" w:hAnsi="Arial" w:hint="default"/>
      </w:rPr>
    </w:lvl>
    <w:lvl w:ilvl="8" w:tplc="F7B699A8"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409E3F0E"/>
    <w:multiLevelType w:val="hybridMultilevel"/>
    <w:tmpl w:val="A0BCF3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1E24176"/>
    <w:multiLevelType w:val="hybridMultilevel"/>
    <w:tmpl w:val="3542988A"/>
    <w:lvl w:ilvl="0" w:tplc="04090001">
      <w:start w:val="1"/>
      <w:numFmt w:val="bullet"/>
      <w:lvlText w:val=""/>
      <w:lvlJc w:val="left"/>
      <w:pPr>
        <w:ind w:left="1081" w:hanging="360"/>
      </w:pPr>
      <w:rPr>
        <w:rFonts w:ascii="Symbol" w:hAnsi="Symbol" w:hint="default"/>
      </w:rPr>
    </w:lvl>
    <w:lvl w:ilvl="1" w:tplc="04090003" w:tentative="1">
      <w:start w:val="1"/>
      <w:numFmt w:val="bullet"/>
      <w:lvlText w:val="o"/>
      <w:lvlJc w:val="left"/>
      <w:pPr>
        <w:ind w:left="1801" w:hanging="360"/>
      </w:pPr>
      <w:rPr>
        <w:rFonts w:ascii="Courier New" w:hAnsi="Courier New" w:hint="default"/>
      </w:rPr>
    </w:lvl>
    <w:lvl w:ilvl="2" w:tplc="04090005" w:tentative="1">
      <w:start w:val="1"/>
      <w:numFmt w:val="bullet"/>
      <w:lvlText w:val=""/>
      <w:lvlJc w:val="left"/>
      <w:pPr>
        <w:ind w:left="2521" w:hanging="360"/>
      </w:pPr>
      <w:rPr>
        <w:rFonts w:ascii="Wingdings" w:hAnsi="Wingdings" w:hint="default"/>
      </w:rPr>
    </w:lvl>
    <w:lvl w:ilvl="3" w:tplc="04090001" w:tentative="1">
      <w:start w:val="1"/>
      <w:numFmt w:val="bullet"/>
      <w:lvlText w:val=""/>
      <w:lvlJc w:val="left"/>
      <w:pPr>
        <w:ind w:left="3241" w:hanging="360"/>
      </w:pPr>
      <w:rPr>
        <w:rFonts w:ascii="Symbol" w:hAnsi="Symbol" w:hint="default"/>
      </w:rPr>
    </w:lvl>
    <w:lvl w:ilvl="4" w:tplc="04090003" w:tentative="1">
      <w:start w:val="1"/>
      <w:numFmt w:val="bullet"/>
      <w:lvlText w:val="o"/>
      <w:lvlJc w:val="left"/>
      <w:pPr>
        <w:ind w:left="3961" w:hanging="360"/>
      </w:pPr>
      <w:rPr>
        <w:rFonts w:ascii="Courier New" w:hAnsi="Courier New" w:hint="default"/>
      </w:rPr>
    </w:lvl>
    <w:lvl w:ilvl="5" w:tplc="04090005" w:tentative="1">
      <w:start w:val="1"/>
      <w:numFmt w:val="bullet"/>
      <w:lvlText w:val=""/>
      <w:lvlJc w:val="left"/>
      <w:pPr>
        <w:ind w:left="4681" w:hanging="360"/>
      </w:pPr>
      <w:rPr>
        <w:rFonts w:ascii="Wingdings" w:hAnsi="Wingdings" w:hint="default"/>
      </w:rPr>
    </w:lvl>
    <w:lvl w:ilvl="6" w:tplc="04090001" w:tentative="1">
      <w:start w:val="1"/>
      <w:numFmt w:val="bullet"/>
      <w:lvlText w:val=""/>
      <w:lvlJc w:val="left"/>
      <w:pPr>
        <w:ind w:left="5401" w:hanging="360"/>
      </w:pPr>
      <w:rPr>
        <w:rFonts w:ascii="Symbol" w:hAnsi="Symbol" w:hint="default"/>
      </w:rPr>
    </w:lvl>
    <w:lvl w:ilvl="7" w:tplc="04090003" w:tentative="1">
      <w:start w:val="1"/>
      <w:numFmt w:val="bullet"/>
      <w:lvlText w:val="o"/>
      <w:lvlJc w:val="left"/>
      <w:pPr>
        <w:ind w:left="6121" w:hanging="360"/>
      </w:pPr>
      <w:rPr>
        <w:rFonts w:ascii="Courier New" w:hAnsi="Courier New" w:hint="default"/>
      </w:rPr>
    </w:lvl>
    <w:lvl w:ilvl="8" w:tplc="04090005" w:tentative="1">
      <w:start w:val="1"/>
      <w:numFmt w:val="bullet"/>
      <w:lvlText w:val=""/>
      <w:lvlJc w:val="left"/>
      <w:pPr>
        <w:ind w:left="6841" w:hanging="360"/>
      </w:pPr>
      <w:rPr>
        <w:rFonts w:ascii="Wingdings" w:hAnsi="Wingdings" w:hint="default"/>
      </w:rPr>
    </w:lvl>
  </w:abstractNum>
  <w:abstractNum w:abstractNumId="20" w15:restartNumberingAfterBreak="0">
    <w:nsid w:val="42B73716"/>
    <w:multiLevelType w:val="hybridMultilevel"/>
    <w:tmpl w:val="2BDABA6C"/>
    <w:lvl w:ilvl="0" w:tplc="80E0AB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37E7FDA"/>
    <w:multiLevelType w:val="hybridMultilevel"/>
    <w:tmpl w:val="5A32B2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82C7AA5"/>
    <w:multiLevelType w:val="hybridMultilevel"/>
    <w:tmpl w:val="B4DE25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9F462ED"/>
    <w:multiLevelType w:val="hybridMultilevel"/>
    <w:tmpl w:val="A38CD7C6"/>
    <w:lvl w:ilvl="0" w:tplc="0C090001">
      <w:start w:val="1"/>
      <w:numFmt w:val="bullet"/>
      <w:lvlText w:val=""/>
      <w:lvlJc w:val="left"/>
      <w:pPr>
        <w:ind w:left="1134" w:hanging="360"/>
      </w:pPr>
      <w:rPr>
        <w:rFonts w:ascii="Symbol" w:hAnsi="Symbol" w:hint="default"/>
      </w:rPr>
    </w:lvl>
    <w:lvl w:ilvl="1" w:tplc="0C090003" w:tentative="1">
      <w:start w:val="1"/>
      <w:numFmt w:val="bullet"/>
      <w:lvlText w:val="o"/>
      <w:lvlJc w:val="left"/>
      <w:pPr>
        <w:ind w:left="1854" w:hanging="360"/>
      </w:pPr>
      <w:rPr>
        <w:rFonts w:ascii="Courier New" w:hAnsi="Courier New" w:cs="Courier New" w:hint="default"/>
      </w:rPr>
    </w:lvl>
    <w:lvl w:ilvl="2" w:tplc="0C090005" w:tentative="1">
      <w:start w:val="1"/>
      <w:numFmt w:val="bullet"/>
      <w:lvlText w:val=""/>
      <w:lvlJc w:val="left"/>
      <w:pPr>
        <w:ind w:left="2574" w:hanging="360"/>
      </w:pPr>
      <w:rPr>
        <w:rFonts w:ascii="Wingdings" w:hAnsi="Wingdings" w:hint="default"/>
      </w:rPr>
    </w:lvl>
    <w:lvl w:ilvl="3" w:tplc="0C090001" w:tentative="1">
      <w:start w:val="1"/>
      <w:numFmt w:val="bullet"/>
      <w:lvlText w:val=""/>
      <w:lvlJc w:val="left"/>
      <w:pPr>
        <w:ind w:left="3294" w:hanging="360"/>
      </w:pPr>
      <w:rPr>
        <w:rFonts w:ascii="Symbol" w:hAnsi="Symbol" w:hint="default"/>
      </w:rPr>
    </w:lvl>
    <w:lvl w:ilvl="4" w:tplc="0C090003" w:tentative="1">
      <w:start w:val="1"/>
      <w:numFmt w:val="bullet"/>
      <w:lvlText w:val="o"/>
      <w:lvlJc w:val="left"/>
      <w:pPr>
        <w:ind w:left="4014" w:hanging="360"/>
      </w:pPr>
      <w:rPr>
        <w:rFonts w:ascii="Courier New" w:hAnsi="Courier New" w:cs="Courier New" w:hint="default"/>
      </w:rPr>
    </w:lvl>
    <w:lvl w:ilvl="5" w:tplc="0C090005" w:tentative="1">
      <w:start w:val="1"/>
      <w:numFmt w:val="bullet"/>
      <w:lvlText w:val=""/>
      <w:lvlJc w:val="left"/>
      <w:pPr>
        <w:ind w:left="4734" w:hanging="360"/>
      </w:pPr>
      <w:rPr>
        <w:rFonts w:ascii="Wingdings" w:hAnsi="Wingdings" w:hint="default"/>
      </w:rPr>
    </w:lvl>
    <w:lvl w:ilvl="6" w:tplc="0C090001" w:tentative="1">
      <w:start w:val="1"/>
      <w:numFmt w:val="bullet"/>
      <w:lvlText w:val=""/>
      <w:lvlJc w:val="left"/>
      <w:pPr>
        <w:ind w:left="5454" w:hanging="360"/>
      </w:pPr>
      <w:rPr>
        <w:rFonts w:ascii="Symbol" w:hAnsi="Symbol" w:hint="default"/>
      </w:rPr>
    </w:lvl>
    <w:lvl w:ilvl="7" w:tplc="0C090003" w:tentative="1">
      <w:start w:val="1"/>
      <w:numFmt w:val="bullet"/>
      <w:lvlText w:val="o"/>
      <w:lvlJc w:val="left"/>
      <w:pPr>
        <w:ind w:left="6174" w:hanging="360"/>
      </w:pPr>
      <w:rPr>
        <w:rFonts w:ascii="Courier New" w:hAnsi="Courier New" w:cs="Courier New" w:hint="default"/>
      </w:rPr>
    </w:lvl>
    <w:lvl w:ilvl="8" w:tplc="0C090005" w:tentative="1">
      <w:start w:val="1"/>
      <w:numFmt w:val="bullet"/>
      <w:lvlText w:val=""/>
      <w:lvlJc w:val="left"/>
      <w:pPr>
        <w:ind w:left="6894" w:hanging="360"/>
      </w:pPr>
      <w:rPr>
        <w:rFonts w:ascii="Wingdings" w:hAnsi="Wingdings" w:hint="default"/>
      </w:rPr>
    </w:lvl>
  </w:abstractNum>
  <w:abstractNum w:abstractNumId="24" w15:restartNumberingAfterBreak="0">
    <w:nsid w:val="4B03012D"/>
    <w:multiLevelType w:val="hybridMultilevel"/>
    <w:tmpl w:val="958A3252"/>
    <w:lvl w:ilvl="0" w:tplc="D2C6AA24">
      <w:start w:val="1"/>
      <w:numFmt w:val="bullet"/>
      <w:lvlText w:val="•"/>
      <w:lvlJc w:val="left"/>
      <w:pPr>
        <w:tabs>
          <w:tab w:val="num" w:pos="720"/>
        </w:tabs>
        <w:ind w:left="720" w:hanging="360"/>
      </w:pPr>
      <w:rPr>
        <w:rFonts w:ascii="Arial" w:hAnsi="Arial" w:hint="default"/>
      </w:rPr>
    </w:lvl>
    <w:lvl w:ilvl="1" w:tplc="BE682AD0" w:tentative="1">
      <w:start w:val="1"/>
      <w:numFmt w:val="bullet"/>
      <w:lvlText w:val="•"/>
      <w:lvlJc w:val="left"/>
      <w:pPr>
        <w:tabs>
          <w:tab w:val="num" w:pos="1440"/>
        </w:tabs>
        <w:ind w:left="1440" w:hanging="360"/>
      </w:pPr>
      <w:rPr>
        <w:rFonts w:ascii="Arial" w:hAnsi="Arial" w:hint="default"/>
      </w:rPr>
    </w:lvl>
    <w:lvl w:ilvl="2" w:tplc="EE8047E4" w:tentative="1">
      <w:start w:val="1"/>
      <w:numFmt w:val="bullet"/>
      <w:lvlText w:val="•"/>
      <w:lvlJc w:val="left"/>
      <w:pPr>
        <w:tabs>
          <w:tab w:val="num" w:pos="2160"/>
        </w:tabs>
        <w:ind w:left="2160" w:hanging="360"/>
      </w:pPr>
      <w:rPr>
        <w:rFonts w:ascii="Arial" w:hAnsi="Arial" w:hint="default"/>
      </w:rPr>
    </w:lvl>
    <w:lvl w:ilvl="3" w:tplc="765AEFF4" w:tentative="1">
      <w:start w:val="1"/>
      <w:numFmt w:val="bullet"/>
      <w:lvlText w:val="•"/>
      <w:lvlJc w:val="left"/>
      <w:pPr>
        <w:tabs>
          <w:tab w:val="num" w:pos="2880"/>
        </w:tabs>
        <w:ind w:left="2880" w:hanging="360"/>
      </w:pPr>
      <w:rPr>
        <w:rFonts w:ascii="Arial" w:hAnsi="Arial" w:hint="default"/>
      </w:rPr>
    </w:lvl>
    <w:lvl w:ilvl="4" w:tplc="0470BCCA" w:tentative="1">
      <w:start w:val="1"/>
      <w:numFmt w:val="bullet"/>
      <w:lvlText w:val="•"/>
      <w:lvlJc w:val="left"/>
      <w:pPr>
        <w:tabs>
          <w:tab w:val="num" w:pos="3600"/>
        </w:tabs>
        <w:ind w:left="3600" w:hanging="360"/>
      </w:pPr>
      <w:rPr>
        <w:rFonts w:ascii="Arial" w:hAnsi="Arial" w:hint="default"/>
      </w:rPr>
    </w:lvl>
    <w:lvl w:ilvl="5" w:tplc="3CE44754" w:tentative="1">
      <w:start w:val="1"/>
      <w:numFmt w:val="bullet"/>
      <w:lvlText w:val="•"/>
      <w:lvlJc w:val="left"/>
      <w:pPr>
        <w:tabs>
          <w:tab w:val="num" w:pos="4320"/>
        </w:tabs>
        <w:ind w:left="4320" w:hanging="360"/>
      </w:pPr>
      <w:rPr>
        <w:rFonts w:ascii="Arial" w:hAnsi="Arial" w:hint="default"/>
      </w:rPr>
    </w:lvl>
    <w:lvl w:ilvl="6" w:tplc="BC2682C2" w:tentative="1">
      <w:start w:val="1"/>
      <w:numFmt w:val="bullet"/>
      <w:lvlText w:val="•"/>
      <w:lvlJc w:val="left"/>
      <w:pPr>
        <w:tabs>
          <w:tab w:val="num" w:pos="5040"/>
        </w:tabs>
        <w:ind w:left="5040" w:hanging="360"/>
      </w:pPr>
      <w:rPr>
        <w:rFonts w:ascii="Arial" w:hAnsi="Arial" w:hint="default"/>
      </w:rPr>
    </w:lvl>
    <w:lvl w:ilvl="7" w:tplc="AF723F02" w:tentative="1">
      <w:start w:val="1"/>
      <w:numFmt w:val="bullet"/>
      <w:lvlText w:val="•"/>
      <w:lvlJc w:val="left"/>
      <w:pPr>
        <w:tabs>
          <w:tab w:val="num" w:pos="5760"/>
        </w:tabs>
        <w:ind w:left="5760" w:hanging="360"/>
      </w:pPr>
      <w:rPr>
        <w:rFonts w:ascii="Arial" w:hAnsi="Arial" w:hint="default"/>
      </w:rPr>
    </w:lvl>
    <w:lvl w:ilvl="8" w:tplc="7CECFBE6"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4C1D31BC"/>
    <w:multiLevelType w:val="hybridMultilevel"/>
    <w:tmpl w:val="72A6C738"/>
    <w:lvl w:ilvl="0" w:tplc="84F8BCE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08C575B"/>
    <w:multiLevelType w:val="hybridMultilevel"/>
    <w:tmpl w:val="2ECA8A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2AF3FFF"/>
    <w:multiLevelType w:val="hybridMultilevel"/>
    <w:tmpl w:val="01FA5478"/>
    <w:lvl w:ilvl="0" w:tplc="80FE2F9C">
      <w:start w:val="4"/>
      <w:numFmt w:val="decimal"/>
      <w:lvlText w:val="%1."/>
      <w:lvlJc w:val="left"/>
      <w:pPr>
        <w:ind w:left="721"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8" w15:restartNumberingAfterBreak="0">
    <w:nsid w:val="52D629B4"/>
    <w:multiLevelType w:val="hybridMultilevel"/>
    <w:tmpl w:val="FCE47200"/>
    <w:lvl w:ilvl="0" w:tplc="0C09000F">
      <w:start w:val="1"/>
      <w:numFmt w:val="decimal"/>
      <w:lvlText w:val="%1."/>
      <w:lvlJc w:val="left"/>
      <w:pPr>
        <w:ind w:left="721" w:hanging="360"/>
      </w:pPr>
      <w:rPr>
        <w:rFonts w:hint="default"/>
      </w:rPr>
    </w:lvl>
    <w:lvl w:ilvl="1" w:tplc="04090003" w:tentative="1">
      <w:start w:val="1"/>
      <w:numFmt w:val="bullet"/>
      <w:lvlText w:val="o"/>
      <w:lvlJc w:val="left"/>
      <w:pPr>
        <w:ind w:left="1441" w:hanging="360"/>
      </w:pPr>
      <w:rPr>
        <w:rFonts w:ascii="Courier New" w:hAnsi="Courier New" w:hint="default"/>
      </w:rPr>
    </w:lvl>
    <w:lvl w:ilvl="2" w:tplc="04090005" w:tentative="1">
      <w:start w:val="1"/>
      <w:numFmt w:val="bullet"/>
      <w:lvlText w:val=""/>
      <w:lvlJc w:val="left"/>
      <w:pPr>
        <w:ind w:left="2161" w:hanging="360"/>
      </w:pPr>
      <w:rPr>
        <w:rFonts w:ascii="Wingdings" w:hAnsi="Wingdings" w:hint="default"/>
      </w:rPr>
    </w:lvl>
    <w:lvl w:ilvl="3" w:tplc="04090001" w:tentative="1">
      <w:start w:val="1"/>
      <w:numFmt w:val="bullet"/>
      <w:lvlText w:val=""/>
      <w:lvlJc w:val="left"/>
      <w:pPr>
        <w:ind w:left="2881" w:hanging="360"/>
      </w:pPr>
      <w:rPr>
        <w:rFonts w:ascii="Symbol" w:hAnsi="Symbol" w:hint="default"/>
      </w:rPr>
    </w:lvl>
    <w:lvl w:ilvl="4" w:tplc="04090003" w:tentative="1">
      <w:start w:val="1"/>
      <w:numFmt w:val="bullet"/>
      <w:lvlText w:val="o"/>
      <w:lvlJc w:val="left"/>
      <w:pPr>
        <w:ind w:left="3601" w:hanging="360"/>
      </w:pPr>
      <w:rPr>
        <w:rFonts w:ascii="Courier New" w:hAnsi="Courier New" w:hint="default"/>
      </w:rPr>
    </w:lvl>
    <w:lvl w:ilvl="5" w:tplc="04090005" w:tentative="1">
      <w:start w:val="1"/>
      <w:numFmt w:val="bullet"/>
      <w:lvlText w:val=""/>
      <w:lvlJc w:val="left"/>
      <w:pPr>
        <w:ind w:left="4321" w:hanging="360"/>
      </w:pPr>
      <w:rPr>
        <w:rFonts w:ascii="Wingdings" w:hAnsi="Wingdings" w:hint="default"/>
      </w:rPr>
    </w:lvl>
    <w:lvl w:ilvl="6" w:tplc="04090001" w:tentative="1">
      <w:start w:val="1"/>
      <w:numFmt w:val="bullet"/>
      <w:lvlText w:val=""/>
      <w:lvlJc w:val="left"/>
      <w:pPr>
        <w:ind w:left="5041" w:hanging="360"/>
      </w:pPr>
      <w:rPr>
        <w:rFonts w:ascii="Symbol" w:hAnsi="Symbol" w:hint="default"/>
      </w:rPr>
    </w:lvl>
    <w:lvl w:ilvl="7" w:tplc="04090003" w:tentative="1">
      <w:start w:val="1"/>
      <w:numFmt w:val="bullet"/>
      <w:lvlText w:val="o"/>
      <w:lvlJc w:val="left"/>
      <w:pPr>
        <w:ind w:left="5761" w:hanging="360"/>
      </w:pPr>
      <w:rPr>
        <w:rFonts w:ascii="Courier New" w:hAnsi="Courier New" w:hint="default"/>
      </w:rPr>
    </w:lvl>
    <w:lvl w:ilvl="8" w:tplc="04090005" w:tentative="1">
      <w:start w:val="1"/>
      <w:numFmt w:val="bullet"/>
      <w:lvlText w:val=""/>
      <w:lvlJc w:val="left"/>
      <w:pPr>
        <w:ind w:left="6481" w:hanging="360"/>
      </w:pPr>
      <w:rPr>
        <w:rFonts w:ascii="Wingdings" w:hAnsi="Wingdings" w:hint="default"/>
      </w:rPr>
    </w:lvl>
  </w:abstractNum>
  <w:abstractNum w:abstractNumId="29" w15:restartNumberingAfterBreak="0">
    <w:nsid w:val="5B7972C9"/>
    <w:multiLevelType w:val="hybridMultilevel"/>
    <w:tmpl w:val="9DBCE6A8"/>
    <w:lvl w:ilvl="0" w:tplc="0C09000F">
      <w:start w:val="1"/>
      <w:numFmt w:val="decimal"/>
      <w:lvlText w:val="%1."/>
      <w:lvlJc w:val="left"/>
      <w:pPr>
        <w:ind w:left="721" w:hanging="360"/>
      </w:pPr>
      <w:rPr>
        <w:rFonts w:hint="default"/>
      </w:rPr>
    </w:lvl>
    <w:lvl w:ilvl="1" w:tplc="04090003" w:tentative="1">
      <w:start w:val="1"/>
      <w:numFmt w:val="bullet"/>
      <w:lvlText w:val="o"/>
      <w:lvlJc w:val="left"/>
      <w:pPr>
        <w:ind w:left="1441" w:hanging="360"/>
      </w:pPr>
      <w:rPr>
        <w:rFonts w:ascii="Courier New" w:hAnsi="Courier New" w:hint="default"/>
      </w:rPr>
    </w:lvl>
    <w:lvl w:ilvl="2" w:tplc="04090005" w:tentative="1">
      <w:start w:val="1"/>
      <w:numFmt w:val="bullet"/>
      <w:lvlText w:val=""/>
      <w:lvlJc w:val="left"/>
      <w:pPr>
        <w:ind w:left="2161" w:hanging="360"/>
      </w:pPr>
      <w:rPr>
        <w:rFonts w:ascii="Wingdings" w:hAnsi="Wingdings" w:hint="default"/>
      </w:rPr>
    </w:lvl>
    <w:lvl w:ilvl="3" w:tplc="04090001" w:tentative="1">
      <w:start w:val="1"/>
      <w:numFmt w:val="bullet"/>
      <w:lvlText w:val=""/>
      <w:lvlJc w:val="left"/>
      <w:pPr>
        <w:ind w:left="2881" w:hanging="360"/>
      </w:pPr>
      <w:rPr>
        <w:rFonts w:ascii="Symbol" w:hAnsi="Symbol" w:hint="default"/>
      </w:rPr>
    </w:lvl>
    <w:lvl w:ilvl="4" w:tplc="04090003" w:tentative="1">
      <w:start w:val="1"/>
      <w:numFmt w:val="bullet"/>
      <w:lvlText w:val="o"/>
      <w:lvlJc w:val="left"/>
      <w:pPr>
        <w:ind w:left="3601" w:hanging="360"/>
      </w:pPr>
      <w:rPr>
        <w:rFonts w:ascii="Courier New" w:hAnsi="Courier New" w:hint="default"/>
      </w:rPr>
    </w:lvl>
    <w:lvl w:ilvl="5" w:tplc="04090005" w:tentative="1">
      <w:start w:val="1"/>
      <w:numFmt w:val="bullet"/>
      <w:lvlText w:val=""/>
      <w:lvlJc w:val="left"/>
      <w:pPr>
        <w:ind w:left="4321" w:hanging="360"/>
      </w:pPr>
      <w:rPr>
        <w:rFonts w:ascii="Wingdings" w:hAnsi="Wingdings" w:hint="default"/>
      </w:rPr>
    </w:lvl>
    <w:lvl w:ilvl="6" w:tplc="04090001" w:tentative="1">
      <w:start w:val="1"/>
      <w:numFmt w:val="bullet"/>
      <w:lvlText w:val=""/>
      <w:lvlJc w:val="left"/>
      <w:pPr>
        <w:ind w:left="5041" w:hanging="360"/>
      </w:pPr>
      <w:rPr>
        <w:rFonts w:ascii="Symbol" w:hAnsi="Symbol" w:hint="default"/>
      </w:rPr>
    </w:lvl>
    <w:lvl w:ilvl="7" w:tplc="04090003" w:tentative="1">
      <w:start w:val="1"/>
      <w:numFmt w:val="bullet"/>
      <w:lvlText w:val="o"/>
      <w:lvlJc w:val="left"/>
      <w:pPr>
        <w:ind w:left="5761" w:hanging="360"/>
      </w:pPr>
      <w:rPr>
        <w:rFonts w:ascii="Courier New" w:hAnsi="Courier New" w:hint="default"/>
      </w:rPr>
    </w:lvl>
    <w:lvl w:ilvl="8" w:tplc="04090005" w:tentative="1">
      <w:start w:val="1"/>
      <w:numFmt w:val="bullet"/>
      <w:lvlText w:val=""/>
      <w:lvlJc w:val="left"/>
      <w:pPr>
        <w:ind w:left="6481" w:hanging="360"/>
      </w:pPr>
      <w:rPr>
        <w:rFonts w:ascii="Wingdings" w:hAnsi="Wingdings" w:hint="default"/>
      </w:rPr>
    </w:lvl>
  </w:abstractNum>
  <w:abstractNum w:abstractNumId="30" w15:restartNumberingAfterBreak="0">
    <w:nsid w:val="673652C4"/>
    <w:multiLevelType w:val="hybridMultilevel"/>
    <w:tmpl w:val="7F7AE882"/>
    <w:lvl w:ilvl="0" w:tplc="0C090001">
      <w:start w:val="1"/>
      <w:numFmt w:val="bullet"/>
      <w:lvlText w:val=""/>
      <w:lvlJc w:val="left"/>
      <w:pPr>
        <w:ind w:left="775" w:hanging="360"/>
      </w:pPr>
      <w:rPr>
        <w:rFonts w:ascii="Symbol" w:hAnsi="Symbol" w:hint="default"/>
      </w:rPr>
    </w:lvl>
    <w:lvl w:ilvl="1" w:tplc="0C090003" w:tentative="1">
      <w:start w:val="1"/>
      <w:numFmt w:val="bullet"/>
      <w:lvlText w:val="o"/>
      <w:lvlJc w:val="left"/>
      <w:pPr>
        <w:ind w:left="1495" w:hanging="360"/>
      </w:pPr>
      <w:rPr>
        <w:rFonts w:ascii="Courier New" w:hAnsi="Courier New" w:cs="Courier New" w:hint="default"/>
      </w:rPr>
    </w:lvl>
    <w:lvl w:ilvl="2" w:tplc="0C090005" w:tentative="1">
      <w:start w:val="1"/>
      <w:numFmt w:val="bullet"/>
      <w:lvlText w:val=""/>
      <w:lvlJc w:val="left"/>
      <w:pPr>
        <w:ind w:left="2215" w:hanging="360"/>
      </w:pPr>
      <w:rPr>
        <w:rFonts w:ascii="Wingdings" w:hAnsi="Wingdings" w:hint="default"/>
      </w:rPr>
    </w:lvl>
    <w:lvl w:ilvl="3" w:tplc="0C090001" w:tentative="1">
      <w:start w:val="1"/>
      <w:numFmt w:val="bullet"/>
      <w:lvlText w:val=""/>
      <w:lvlJc w:val="left"/>
      <w:pPr>
        <w:ind w:left="2935" w:hanging="360"/>
      </w:pPr>
      <w:rPr>
        <w:rFonts w:ascii="Symbol" w:hAnsi="Symbol" w:hint="default"/>
      </w:rPr>
    </w:lvl>
    <w:lvl w:ilvl="4" w:tplc="0C090003" w:tentative="1">
      <w:start w:val="1"/>
      <w:numFmt w:val="bullet"/>
      <w:lvlText w:val="o"/>
      <w:lvlJc w:val="left"/>
      <w:pPr>
        <w:ind w:left="3655" w:hanging="360"/>
      </w:pPr>
      <w:rPr>
        <w:rFonts w:ascii="Courier New" w:hAnsi="Courier New" w:cs="Courier New" w:hint="default"/>
      </w:rPr>
    </w:lvl>
    <w:lvl w:ilvl="5" w:tplc="0C090005" w:tentative="1">
      <w:start w:val="1"/>
      <w:numFmt w:val="bullet"/>
      <w:lvlText w:val=""/>
      <w:lvlJc w:val="left"/>
      <w:pPr>
        <w:ind w:left="4375" w:hanging="360"/>
      </w:pPr>
      <w:rPr>
        <w:rFonts w:ascii="Wingdings" w:hAnsi="Wingdings" w:hint="default"/>
      </w:rPr>
    </w:lvl>
    <w:lvl w:ilvl="6" w:tplc="0C090001" w:tentative="1">
      <w:start w:val="1"/>
      <w:numFmt w:val="bullet"/>
      <w:lvlText w:val=""/>
      <w:lvlJc w:val="left"/>
      <w:pPr>
        <w:ind w:left="5095" w:hanging="360"/>
      </w:pPr>
      <w:rPr>
        <w:rFonts w:ascii="Symbol" w:hAnsi="Symbol" w:hint="default"/>
      </w:rPr>
    </w:lvl>
    <w:lvl w:ilvl="7" w:tplc="0C090003" w:tentative="1">
      <w:start w:val="1"/>
      <w:numFmt w:val="bullet"/>
      <w:lvlText w:val="o"/>
      <w:lvlJc w:val="left"/>
      <w:pPr>
        <w:ind w:left="5815" w:hanging="360"/>
      </w:pPr>
      <w:rPr>
        <w:rFonts w:ascii="Courier New" w:hAnsi="Courier New" w:cs="Courier New" w:hint="default"/>
      </w:rPr>
    </w:lvl>
    <w:lvl w:ilvl="8" w:tplc="0C090005" w:tentative="1">
      <w:start w:val="1"/>
      <w:numFmt w:val="bullet"/>
      <w:lvlText w:val=""/>
      <w:lvlJc w:val="left"/>
      <w:pPr>
        <w:ind w:left="6535" w:hanging="360"/>
      </w:pPr>
      <w:rPr>
        <w:rFonts w:ascii="Wingdings" w:hAnsi="Wingdings" w:hint="default"/>
      </w:rPr>
    </w:lvl>
  </w:abstractNum>
  <w:abstractNum w:abstractNumId="31" w15:restartNumberingAfterBreak="0">
    <w:nsid w:val="6E2C592F"/>
    <w:multiLevelType w:val="hybridMultilevel"/>
    <w:tmpl w:val="785E1EB2"/>
    <w:lvl w:ilvl="0" w:tplc="0C09000F">
      <w:start w:val="1"/>
      <w:numFmt w:val="decimal"/>
      <w:lvlText w:val="%1."/>
      <w:lvlJc w:val="left"/>
      <w:pPr>
        <w:ind w:left="720" w:hanging="360"/>
      </w:pPr>
      <w:rPr>
        <w:rFonts w:hint="default"/>
      </w:rPr>
    </w:lvl>
    <w:lvl w:ilvl="1" w:tplc="0C090001">
      <w:start w:val="1"/>
      <w:numFmt w:val="bullet"/>
      <w:lvlText w:val=""/>
      <w:lvlJc w:val="left"/>
      <w:pPr>
        <w:ind w:left="1440" w:hanging="360"/>
      </w:pPr>
      <w:rPr>
        <w:rFonts w:ascii="Symbol" w:hAnsi="Symbol" w:hint="default"/>
      </w:r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77CE605B"/>
    <w:multiLevelType w:val="hybridMultilevel"/>
    <w:tmpl w:val="A29815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80A6EDC"/>
    <w:multiLevelType w:val="hybridMultilevel"/>
    <w:tmpl w:val="765ACBF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7A846467"/>
    <w:multiLevelType w:val="hybridMultilevel"/>
    <w:tmpl w:val="18DABB48"/>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35" w15:restartNumberingAfterBreak="0">
    <w:nsid w:val="7B653677"/>
    <w:multiLevelType w:val="hybridMultilevel"/>
    <w:tmpl w:val="77F6A2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C1D2CC6"/>
    <w:multiLevelType w:val="hybridMultilevel"/>
    <w:tmpl w:val="120E1B82"/>
    <w:lvl w:ilvl="0" w:tplc="1EEC8A52">
      <w:numFmt w:val="bullet"/>
      <w:lvlText w:val=""/>
      <w:lvlJc w:val="left"/>
      <w:pPr>
        <w:ind w:left="774" w:hanging="360"/>
      </w:pPr>
      <w:rPr>
        <w:rFonts w:ascii="Calibri" w:eastAsiaTheme="minorEastAsia" w:hAnsi="Calibri" w:cs="Calibri" w:hint="default"/>
      </w:rPr>
    </w:lvl>
    <w:lvl w:ilvl="1" w:tplc="0C090003" w:tentative="1">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37" w15:restartNumberingAfterBreak="0">
    <w:nsid w:val="7E4B66F0"/>
    <w:multiLevelType w:val="hybridMultilevel"/>
    <w:tmpl w:val="A9F6B204"/>
    <w:lvl w:ilvl="0" w:tplc="04090001">
      <w:start w:val="1"/>
      <w:numFmt w:val="bullet"/>
      <w:lvlText w:val=""/>
      <w:lvlJc w:val="left"/>
      <w:pPr>
        <w:ind w:left="721" w:hanging="360"/>
      </w:pPr>
      <w:rPr>
        <w:rFonts w:ascii="Symbol" w:hAnsi="Symbol" w:hint="default"/>
      </w:rPr>
    </w:lvl>
    <w:lvl w:ilvl="1" w:tplc="04090003" w:tentative="1">
      <w:start w:val="1"/>
      <w:numFmt w:val="bullet"/>
      <w:lvlText w:val="o"/>
      <w:lvlJc w:val="left"/>
      <w:pPr>
        <w:ind w:left="1441" w:hanging="360"/>
      </w:pPr>
      <w:rPr>
        <w:rFonts w:ascii="Courier New" w:hAnsi="Courier New" w:hint="default"/>
      </w:rPr>
    </w:lvl>
    <w:lvl w:ilvl="2" w:tplc="04090005" w:tentative="1">
      <w:start w:val="1"/>
      <w:numFmt w:val="bullet"/>
      <w:lvlText w:val=""/>
      <w:lvlJc w:val="left"/>
      <w:pPr>
        <w:ind w:left="2161" w:hanging="360"/>
      </w:pPr>
      <w:rPr>
        <w:rFonts w:ascii="Wingdings" w:hAnsi="Wingdings" w:hint="default"/>
      </w:rPr>
    </w:lvl>
    <w:lvl w:ilvl="3" w:tplc="04090001" w:tentative="1">
      <w:start w:val="1"/>
      <w:numFmt w:val="bullet"/>
      <w:lvlText w:val=""/>
      <w:lvlJc w:val="left"/>
      <w:pPr>
        <w:ind w:left="2881" w:hanging="360"/>
      </w:pPr>
      <w:rPr>
        <w:rFonts w:ascii="Symbol" w:hAnsi="Symbol" w:hint="default"/>
      </w:rPr>
    </w:lvl>
    <w:lvl w:ilvl="4" w:tplc="04090003" w:tentative="1">
      <w:start w:val="1"/>
      <w:numFmt w:val="bullet"/>
      <w:lvlText w:val="o"/>
      <w:lvlJc w:val="left"/>
      <w:pPr>
        <w:ind w:left="3601" w:hanging="360"/>
      </w:pPr>
      <w:rPr>
        <w:rFonts w:ascii="Courier New" w:hAnsi="Courier New" w:hint="default"/>
      </w:rPr>
    </w:lvl>
    <w:lvl w:ilvl="5" w:tplc="04090005" w:tentative="1">
      <w:start w:val="1"/>
      <w:numFmt w:val="bullet"/>
      <w:lvlText w:val=""/>
      <w:lvlJc w:val="left"/>
      <w:pPr>
        <w:ind w:left="4321" w:hanging="360"/>
      </w:pPr>
      <w:rPr>
        <w:rFonts w:ascii="Wingdings" w:hAnsi="Wingdings" w:hint="default"/>
      </w:rPr>
    </w:lvl>
    <w:lvl w:ilvl="6" w:tplc="04090001" w:tentative="1">
      <w:start w:val="1"/>
      <w:numFmt w:val="bullet"/>
      <w:lvlText w:val=""/>
      <w:lvlJc w:val="left"/>
      <w:pPr>
        <w:ind w:left="5041" w:hanging="360"/>
      </w:pPr>
      <w:rPr>
        <w:rFonts w:ascii="Symbol" w:hAnsi="Symbol" w:hint="default"/>
      </w:rPr>
    </w:lvl>
    <w:lvl w:ilvl="7" w:tplc="04090003" w:tentative="1">
      <w:start w:val="1"/>
      <w:numFmt w:val="bullet"/>
      <w:lvlText w:val="o"/>
      <w:lvlJc w:val="left"/>
      <w:pPr>
        <w:ind w:left="5761" w:hanging="360"/>
      </w:pPr>
      <w:rPr>
        <w:rFonts w:ascii="Courier New" w:hAnsi="Courier New" w:hint="default"/>
      </w:rPr>
    </w:lvl>
    <w:lvl w:ilvl="8" w:tplc="04090005" w:tentative="1">
      <w:start w:val="1"/>
      <w:numFmt w:val="bullet"/>
      <w:lvlText w:val=""/>
      <w:lvlJc w:val="left"/>
      <w:pPr>
        <w:ind w:left="6481" w:hanging="360"/>
      </w:pPr>
      <w:rPr>
        <w:rFonts w:ascii="Wingdings" w:hAnsi="Wingdings" w:hint="default"/>
      </w:rPr>
    </w:lvl>
  </w:abstractNum>
  <w:abstractNum w:abstractNumId="38" w15:restartNumberingAfterBreak="0">
    <w:nsid w:val="7ED05243"/>
    <w:multiLevelType w:val="hybridMultilevel"/>
    <w:tmpl w:val="4170EA3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6"/>
  </w:num>
  <w:num w:numId="2">
    <w:abstractNumId w:val="6"/>
  </w:num>
  <w:num w:numId="3">
    <w:abstractNumId w:val="37"/>
  </w:num>
  <w:num w:numId="4">
    <w:abstractNumId w:val="29"/>
  </w:num>
  <w:num w:numId="5">
    <w:abstractNumId w:val="12"/>
  </w:num>
  <w:num w:numId="6">
    <w:abstractNumId w:val="32"/>
  </w:num>
  <w:num w:numId="7">
    <w:abstractNumId w:val="33"/>
  </w:num>
  <w:num w:numId="8">
    <w:abstractNumId w:val="28"/>
  </w:num>
  <w:num w:numId="9">
    <w:abstractNumId w:val="4"/>
  </w:num>
  <w:num w:numId="10">
    <w:abstractNumId w:val="13"/>
  </w:num>
  <w:num w:numId="11">
    <w:abstractNumId w:val="5"/>
  </w:num>
  <w:num w:numId="12">
    <w:abstractNumId w:val="31"/>
  </w:num>
  <w:num w:numId="13">
    <w:abstractNumId w:val="35"/>
  </w:num>
  <w:num w:numId="14">
    <w:abstractNumId w:val="3"/>
  </w:num>
  <w:num w:numId="15">
    <w:abstractNumId w:val="30"/>
  </w:num>
  <w:num w:numId="16">
    <w:abstractNumId w:val="8"/>
  </w:num>
  <w:num w:numId="17">
    <w:abstractNumId w:val="7"/>
  </w:num>
  <w:num w:numId="18">
    <w:abstractNumId w:val="16"/>
  </w:num>
  <w:num w:numId="19">
    <w:abstractNumId w:val="9"/>
  </w:num>
  <w:num w:numId="20">
    <w:abstractNumId w:val="19"/>
  </w:num>
  <w:num w:numId="21">
    <w:abstractNumId w:val="0"/>
  </w:num>
  <w:num w:numId="22">
    <w:abstractNumId w:val="27"/>
  </w:num>
  <w:num w:numId="23">
    <w:abstractNumId w:val="22"/>
  </w:num>
  <w:num w:numId="24">
    <w:abstractNumId w:val="23"/>
  </w:num>
  <w:num w:numId="25">
    <w:abstractNumId w:val="36"/>
  </w:num>
  <w:num w:numId="26">
    <w:abstractNumId w:val="34"/>
  </w:num>
  <w:num w:numId="27">
    <w:abstractNumId w:val="14"/>
  </w:num>
  <w:num w:numId="28">
    <w:abstractNumId w:val="18"/>
  </w:num>
  <w:num w:numId="29">
    <w:abstractNumId w:val="21"/>
  </w:num>
  <w:num w:numId="30">
    <w:abstractNumId w:val="1"/>
  </w:num>
  <w:num w:numId="31">
    <w:abstractNumId w:val="38"/>
  </w:num>
  <w:num w:numId="32">
    <w:abstractNumId w:val="2"/>
  </w:num>
  <w:num w:numId="33">
    <w:abstractNumId w:val="15"/>
  </w:num>
  <w:num w:numId="34">
    <w:abstractNumId w:val="17"/>
  </w:num>
  <w:num w:numId="35">
    <w:abstractNumId w:val="24"/>
  </w:num>
  <w:num w:numId="36">
    <w:abstractNumId w:val="20"/>
  </w:num>
  <w:num w:numId="37">
    <w:abstractNumId w:val="25"/>
  </w:num>
  <w:num w:numId="38">
    <w:abstractNumId w:val="10"/>
  </w:num>
  <w:num w:numId="3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activeWritingStyle w:appName="MSWord" w:lang="fr-FR" w:vendorID="64" w:dllVersion="6" w:nlCheck="1" w:checkStyle="0"/>
  <w:activeWritingStyle w:appName="MSWord" w:lang="en-AU" w:vendorID="64" w:dllVersion="6" w:nlCheck="1" w:checkStyle="1"/>
  <w:activeWritingStyle w:appName="MSWord" w:lang="en-US" w:vendorID="64" w:dllVersion="6" w:nlCheck="1" w:checkStyle="1"/>
  <w:activeWritingStyle w:appName="MSWord" w:lang="en-AU" w:vendorID="64" w:dllVersion="0" w:nlCheck="1" w:checkStyle="0"/>
  <w:activeWritingStyle w:appName="MSWord" w:lang="en-AU" w:vendorID="64" w:dllVersion="131078" w:nlCheck="1" w:checkStyle="1"/>
  <w:activeWritingStyle w:appName="MSWord" w:lang="fr-FR" w:vendorID="64" w:dllVersion="131078" w:nlCheck="1" w:checkStyle="0"/>
  <w:activeWritingStyle w:appName="MSWord" w:lang="en-US" w:vendorID="64" w:dllVersion="131078" w:nlCheck="1" w:checkStyle="1"/>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16BC"/>
    <w:rsid w:val="00006226"/>
    <w:rsid w:val="0000631B"/>
    <w:rsid w:val="000138B3"/>
    <w:rsid w:val="0001545C"/>
    <w:rsid w:val="00023545"/>
    <w:rsid w:val="00026667"/>
    <w:rsid w:val="000334A5"/>
    <w:rsid w:val="00044D2D"/>
    <w:rsid w:val="00051C5E"/>
    <w:rsid w:val="000561E8"/>
    <w:rsid w:val="00063666"/>
    <w:rsid w:val="00063A94"/>
    <w:rsid w:val="00074163"/>
    <w:rsid w:val="000848C2"/>
    <w:rsid w:val="00090A9C"/>
    <w:rsid w:val="00096BE7"/>
    <w:rsid w:val="000A0E38"/>
    <w:rsid w:val="000A3C4F"/>
    <w:rsid w:val="000B0EDE"/>
    <w:rsid w:val="000B166D"/>
    <w:rsid w:val="000B443E"/>
    <w:rsid w:val="000E56C8"/>
    <w:rsid w:val="000E5DDF"/>
    <w:rsid w:val="001071A0"/>
    <w:rsid w:val="001071FB"/>
    <w:rsid w:val="00113171"/>
    <w:rsid w:val="00115D69"/>
    <w:rsid w:val="00120CD0"/>
    <w:rsid w:val="001235A0"/>
    <w:rsid w:val="00135918"/>
    <w:rsid w:val="0013771C"/>
    <w:rsid w:val="001440F4"/>
    <w:rsid w:val="0014577F"/>
    <w:rsid w:val="001474BE"/>
    <w:rsid w:val="001519B8"/>
    <w:rsid w:val="001562F9"/>
    <w:rsid w:val="001712DA"/>
    <w:rsid w:val="001808C1"/>
    <w:rsid w:val="0018195C"/>
    <w:rsid w:val="001906CE"/>
    <w:rsid w:val="001918C0"/>
    <w:rsid w:val="0019279F"/>
    <w:rsid w:val="00197987"/>
    <w:rsid w:val="001A16EE"/>
    <w:rsid w:val="001C1B44"/>
    <w:rsid w:val="001C3CF3"/>
    <w:rsid w:val="001C6B9B"/>
    <w:rsid w:val="001E303C"/>
    <w:rsid w:val="001E441E"/>
    <w:rsid w:val="001E67E8"/>
    <w:rsid w:val="001F1360"/>
    <w:rsid w:val="001F475A"/>
    <w:rsid w:val="00201BF8"/>
    <w:rsid w:val="00206C4D"/>
    <w:rsid w:val="00207DD8"/>
    <w:rsid w:val="00210D42"/>
    <w:rsid w:val="00215942"/>
    <w:rsid w:val="002161CB"/>
    <w:rsid w:val="00232158"/>
    <w:rsid w:val="00245273"/>
    <w:rsid w:val="002556A9"/>
    <w:rsid w:val="00263A42"/>
    <w:rsid w:val="00276342"/>
    <w:rsid w:val="00281946"/>
    <w:rsid w:val="00285D83"/>
    <w:rsid w:val="00297C87"/>
    <w:rsid w:val="002A5377"/>
    <w:rsid w:val="002C00E3"/>
    <w:rsid w:val="002C46FE"/>
    <w:rsid w:val="002C6DF8"/>
    <w:rsid w:val="002D3375"/>
    <w:rsid w:val="002D6EA2"/>
    <w:rsid w:val="002E25CB"/>
    <w:rsid w:val="002E6CE8"/>
    <w:rsid w:val="002E6D47"/>
    <w:rsid w:val="003060AD"/>
    <w:rsid w:val="00312782"/>
    <w:rsid w:val="00314BBD"/>
    <w:rsid w:val="00321B72"/>
    <w:rsid w:val="003261C4"/>
    <w:rsid w:val="0033255E"/>
    <w:rsid w:val="0033787E"/>
    <w:rsid w:val="0034687B"/>
    <w:rsid w:val="003563BF"/>
    <w:rsid w:val="00357FAF"/>
    <w:rsid w:val="00362296"/>
    <w:rsid w:val="0037054D"/>
    <w:rsid w:val="00382C99"/>
    <w:rsid w:val="00385EA7"/>
    <w:rsid w:val="003924E5"/>
    <w:rsid w:val="00393E87"/>
    <w:rsid w:val="00396C98"/>
    <w:rsid w:val="003B638D"/>
    <w:rsid w:val="003B65FC"/>
    <w:rsid w:val="003C0085"/>
    <w:rsid w:val="003E7616"/>
    <w:rsid w:val="00404131"/>
    <w:rsid w:val="004070E7"/>
    <w:rsid w:val="00411E9D"/>
    <w:rsid w:val="004142EE"/>
    <w:rsid w:val="00417E22"/>
    <w:rsid w:val="00431528"/>
    <w:rsid w:val="00443779"/>
    <w:rsid w:val="004549D3"/>
    <w:rsid w:val="004575DE"/>
    <w:rsid w:val="004639EC"/>
    <w:rsid w:val="00477F9A"/>
    <w:rsid w:val="00486B49"/>
    <w:rsid w:val="004937E2"/>
    <w:rsid w:val="00494416"/>
    <w:rsid w:val="004A5DA5"/>
    <w:rsid w:val="004B26AF"/>
    <w:rsid w:val="004B4E59"/>
    <w:rsid w:val="004B6E2C"/>
    <w:rsid w:val="004C0059"/>
    <w:rsid w:val="004C209C"/>
    <w:rsid w:val="004C320E"/>
    <w:rsid w:val="004C3A16"/>
    <w:rsid w:val="004C54EE"/>
    <w:rsid w:val="004C58FF"/>
    <w:rsid w:val="004E1997"/>
    <w:rsid w:val="004F077D"/>
    <w:rsid w:val="004F296F"/>
    <w:rsid w:val="004F5524"/>
    <w:rsid w:val="0050331B"/>
    <w:rsid w:val="0050547D"/>
    <w:rsid w:val="00511785"/>
    <w:rsid w:val="00511FCB"/>
    <w:rsid w:val="00515C55"/>
    <w:rsid w:val="00516500"/>
    <w:rsid w:val="00534319"/>
    <w:rsid w:val="0054735C"/>
    <w:rsid w:val="00563630"/>
    <w:rsid w:val="00563642"/>
    <w:rsid w:val="005655C3"/>
    <w:rsid w:val="00567B6A"/>
    <w:rsid w:val="00584670"/>
    <w:rsid w:val="00586498"/>
    <w:rsid w:val="0058789D"/>
    <w:rsid w:val="00590009"/>
    <w:rsid w:val="00591BD1"/>
    <w:rsid w:val="00595318"/>
    <w:rsid w:val="005A621A"/>
    <w:rsid w:val="005B077A"/>
    <w:rsid w:val="005B2D9B"/>
    <w:rsid w:val="005B5A29"/>
    <w:rsid w:val="005C250A"/>
    <w:rsid w:val="005C37B2"/>
    <w:rsid w:val="005D0C55"/>
    <w:rsid w:val="005E5CB1"/>
    <w:rsid w:val="005F2A0A"/>
    <w:rsid w:val="00606757"/>
    <w:rsid w:val="006157B2"/>
    <w:rsid w:val="00620021"/>
    <w:rsid w:val="006315FE"/>
    <w:rsid w:val="00637258"/>
    <w:rsid w:val="0063775A"/>
    <w:rsid w:val="00645804"/>
    <w:rsid w:val="00657DE6"/>
    <w:rsid w:val="00660A89"/>
    <w:rsid w:val="00677BA0"/>
    <w:rsid w:val="0068677A"/>
    <w:rsid w:val="00693509"/>
    <w:rsid w:val="00696111"/>
    <w:rsid w:val="006A7CA3"/>
    <w:rsid w:val="006C2B4B"/>
    <w:rsid w:val="006C2CDB"/>
    <w:rsid w:val="006D4283"/>
    <w:rsid w:val="006D6A30"/>
    <w:rsid w:val="006F5B2D"/>
    <w:rsid w:val="00700999"/>
    <w:rsid w:val="00706BA4"/>
    <w:rsid w:val="00706C6A"/>
    <w:rsid w:val="007105D9"/>
    <w:rsid w:val="00712421"/>
    <w:rsid w:val="00732DF7"/>
    <w:rsid w:val="00733C36"/>
    <w:rsid w:val="00745153"/>
    <w:rsid w:val="00751722"/>
    <w:rsid w:val="00751BDF"/>
    <w:rsid w:val="007629FC"/>
    <w:rsid w:val="0076310B"/>
    <w:rsid w:val="00764B13"/>
    <w:rsid w:val="00766FF2"/>
    <w:rsid w:val="007731F5"/>
    <w:rsid w:val="007748D7"/>
    <w:rsid w:val="00777F30"/>
    <w:rsid w:val="00781FFB"/>
    <w:rsid w:val="00785603"/>
    <w:rsid w:val="00786384"/>
    <w:rsid w:val="0078691B"/>
    <w:rsid w:val="00790754"/>
    <w:rsid w:val="007A31E9"/>
    <w:rsid w:val="007A4944"/>
    <w:rsid w:val="007B2446"/>
    <w:rsid w:val="007B4274"/>
    <w:rsid w:val="007B4B71"/>
    <w:rsid w:val="007E33DA"/>
    <w:rsid w:val="007E3A43"/>
    <w:rsid w:val="007E3F65"/>
    <w:rsid w:val="007F7395"/>
    <w:rsid w:val="008001D5"/>
    <w:rsid w:val="00800428"/>
    <w:rsid w:val="00810F72"/>
    <w:rsid w:val="00812F37"/>
    <w:rsid w:val="00814B9A"/>
    <w:rsid w:val="00830967"/>
    <w:rsid w:val="00836749"/>
    <w:rsid w:val="00842C0A"/>
    <w:rsid w:val="00861F45"/>
    <w:rsid w:val="00863ECE"/>
    <w:rsid w:val="00864E95"/>
    <w:rsid w:val="00874C11"/>
    <w:rsid w:val="0088478C"/>
    <w:rsid w:val="00884C8D"/>
    <w:rsid w:val="00885EAE"/>
    <w:rsid w:val="00891C27"/>
    <w:rsid w:val="008966B4"/>
    <w:rsid w:val="008A1DDB"/>
    <w:rsid w:val="008B4962"/>
    <w:rsid w:val="008C426D"/>
    <w:rsid w:val="008E56DF"/>
    <w:rsid w:val="008F4996"/>
    <w:rsid w:val="008F7B7E"/>
    <w:rsid w:val="00906307"/>
    <w:rsid w:val="009119F5"/>
    <w:rsid w:val="00913D86"/>
    <w:rsid w:val="00925AAC"/>
    <w:rsid w:val="009311A1"/>
    <w:rsid w:val="0094422D"/>
    <w:rsid w:val="00954709"/>
    <w:rsid w:val="00987E39"/>
    <w:rsid w:val="00991E9C"/>
    <w:rsid w:val="0099297D"/>
    <w:rsid w:val="009959D0"/>
    <w:rsid w:val="00997120"/>
    <w:rsid w:val="009A16BC"/>
    <w:rsid w:val="009A1F97"/>
    <w:rsid w:val="009A545F"/>
    <w:rsid w:val="009A6765"/>
    <w:rsid w:val="009B1498"/>
    <w:rsid w:val="009B7A33"/>
    <w:rsid w:val="009C5099"/>
    <w:rsid w:val="009C799A"/>
    <w:rsid w:val="009D1340"/>
    <w:rsid w:val="009E0B97"/>
    <w:rsid w:val="009E214E"/>
    <w:rsid w:val="00A028A3"/>
    <w:rsid w:val="00A03B91"/>
    <w:rsid w:val="00A069B8"/>
    <w:rsid w:val="00A154C4"/>
    <w:rsid w:val="00A16A21"/>
    <w:rsid w:val="00A2764A"/>
    <w:rsid w:val="00A321CF"/>
    <w:rsid w:val="00A34C96"/>
    <w:rsid w:val="00A36E1F"/>
    <w:rsid w:val="00A3757C"/>
    <w:rsid w:val="00A409B5"/>
    <w:rsid w:val="00A43037"/>
    <w:rsid w:val="00A51D2B"/>
    <w:rsid w:val="00A541D1"/>
    <w:rsid w:val="00A57D20"/>
    <w:rsid w:val="00A622AB"/>
    <w:rsid w:val="00A6352A"/>
    <w:rsid w:val="00A66E93"/>
    <w:rsid w:val="00A920A4"/>
    <w:rsid w:val="00A96683"/>
    <w:rsid w:val="00AB1E52"/>
    <w:rsid w:val="00AB28B1"/>
    <w:rsid w:val="00AB2B27"/>
    <w:rsid w:val="00AB4FFA"/>
    <w:rsid w:val="00AB6AA9"/>
    <w:rsid w:val="00AC16A7"/>
    <w:rsid w:val="00AC3275"/>
    <w:rsid w:val="00AC3C08"/>
    <w:rsid w:val="00AC762D"/>
    <w:rsid w:val="00AD1FFF"/>
    <w:rsid w:val="00AD3039"/>
    <w:rsid w:val="00AE2BF3"/>
    <w:rsid w:val="00B00951"/>
    <w:rsid w:val="00B0530F"/>
    <w:rsid w:val="00B06992"/>
    <w:rsid w:val="00B11DBC"/>
    <w:rsid w:val="00B13116"/>
    <w:rsid w:val="00B20DD7"/>
    <w:rsid w:val="00B21E00"/>
    <w:rsid w:val="00B42CE3"/>
    <w:rsid w:val="00B64877"/>
    <w:rsid w:val="00B701A0"/>
    <w:rsid w:val="00B7097C"/>
    <w:rsid w:val="00B743CB"/>
    <w:rsid w:val="00B8083F"/>
    <w:rsid w:val="00B93461"/>
    <w:rsid w:val="00B962E1"/>
    <w:rsid w:val="00BA10F0"/>
    <w:rsid w:val="00BA5658"/>
    <w:rsid w:val="00BA5D7A"/>
    <w:rsid w:val="00BB694F"/>
    <w:rsid w:val="00BC38D0"/>
    <w:rsid w:val="00BC5E42"/>
    <w:rsid w:val="00BD745A"/>
    <w:rsid w:val="00BE3ECF"/>
    <w:rsid w:val="00BE5E4E"/>
    <w:rsid w:val="00BE6840"/>
    <w:rsid w:val="00C03A05"/>
    <w:rsid w:val="00C06ECE"/>
    <w:rsid w:val="00C20148"/>
    <w:rsid w:val="00C2429F"/>
    <w:rsid w:val="00C409FC"/>
    <w:rsid w:val="00C46EB7"/>
    <w:rsid w:val="00C47858"/>
    <w:rsid w:val="00C50B4A"/>
    <w:rsid w:val="00C52CCB"/>
    <w:rsid w:val="00C551F6"/>
    <w:rsid w:val="00C64C0B"/>
    <w:rsid w:val="00C66BFD"/>
    <w:rsid w:val="00C67872"/>
    <w:rsid w:val="00C706FF"/>
    <w:rsid w:val="00C7079B"/>
    <w:rsid w:val="00C7231B"/>
    <w:rsid w:val="00C73407"/>
    <w:rsid w:val="00C84380"/>
    <w:rsid w:val="00C87F32"/>
    <w:rsid w:val="00C9175B"/>
    <w:rsid w:val="00CB01E6"/>
    <w:rsid w:val="00CB51FA"/>
    <w:rsid w:val="00CC2911"/>
    <w:rsid w:val="00CC46D3"/>
    <w:rsid w:val="00CC534D"/>
    <w:rsid w:val="00CC7089"/>
    <w:rsid w:val="00CC7945"/>
    <w:rsid w:val="00CD5296"/>
    <w:rsid w:val="00CF105F"/>
    <w:rsid w:val="00CF39C1"/>
    <w:rsid w:val="00D146E2"/>
    <w:rsid w:val="00D16983"/>
    <w:rsid w:val="00D268EC"/>
    <w:rsid w:val="00D274D9"/>
    <w:rsid w:val="00D35CDB"/>
    <w:rsid w:val="00D37647"/>
    <w:rsid w:val="00D54128"/>
    <w:rsid w:val="00D7109A"/>
    <w:rsid w:val="00D71F52"/>
    <w:rsid w:val="00D724F6"/>
    <w:rsid w:val="00D74895"/>
    <w:rsid w:val="00D87247"/>
    <w:rsid w:val="00D876EE"/>
    <w:rsid w:val="00D90C87"/>
    <w:rsid w:val="00D90FC1"/>
    <w:rsid w:val="00D93E36"/>
    <w:rsid w:val="00D9533E"/>
    <w:rsid w:val="00D97150"/>
    <w:rsid w:val="00D97E42"/>
    <w:rsid w:val="00DA3249"/>
    <w:rsid w:val="00DC1044"/>
    <w:rsid w:val="00DC484A"/>
    <w:rsid w:val="00DD0298"/>
    <w:rsid w:val="00DD6725"/>
    <w:rsid w:val="00DD73E9"/>
    <w:rsid w:val="00DE6597"/>
    <w:rsid w:val="00E03950"/>
    <w:rsid w:val="00E043B9"/>
    <w:rsid w:val="00E132B5"/>
    <w:rsid w:val="00E27336"/>
    <w:rsid w:val="00E3315C"/>
    <w:rsid w:val="00E41373"/>
    <w:rsid w:val="00E41A7E"/>
    <w:rsid w:val="00E436C6"/>
    <w:rsid w:val="00E56524"/>
    <w:rsid w:val="00E60A71"/>
    <w:rsid w:val="00E60BFD"/>
    <w:rsid w:val="00E648AD"/>
    <w:rsid w:val="00E706E9"/>
    <w:rsid w:val="00E7732F"/>
    <w:rsid w:val="00E811A1"/>
    <w:rsid w:val="00E83FE1"/>
    <w:rsid w:val="00E85FB4"/>
    <w:rsid w:val="00E91773"/>
    <w:rsid w:val="00EA21D7"/>
    <w:rsid w:val="00EA7420"/>
    <w:rsid w:val="00EB4B91"/>
    <w:rsid w:val="00EB4CC2"/>
    <w:rsid w:val="00ED38D7"/>
    <w:rsid w:val="00EF30CF"/>
    <w:rsid w:val="00F06AF6"/>
    <w:rsid w:val="00F14E55"/>
    <w:rsid w:val="00F15CED"/>
    <w:rsid w:val="00F21360"/>
    <w:rsid w:val="00F3015A"/>
    <w:rsid w:val="00F32192"/>
    <w:rsid w:val="00F400C2"/>
    <w:rsid w:val="00F45EEB"/>
    <w:rsid w:val="00F5766C"/>
    <w:rsid w:val="00F60C27"/>
    <w:rsid w:val="00F6536F"/>
    <w:rsid w:val="00F65FCA"/>
    <w:rsid w:val="00F7061B"/>
    <w:rsid w:val="00F72EEA"/>
    <w:rsid w:val="00F85202"/>
    <w:rsid w:val="00FA3004"/>
    <w:rsid w:val="00FA3D8B"/>
    <w:rsid w:val="00FA6433"/>
    <w:rsid w:val="00FB0CF7"/>
    <w:rsid w:val="00FB5203"/>
    <w:rsid w:val="00FE15DD"/>
    <w:rsid w:val="00FE28C3"/>
    <w:rsid w:val="00FE36B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5649A5F-981C-45CA-B9A9-446C31CE0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16BC"/>
    <w:pPr>
      <w:spacing w:after="200" w:line="276" w:lineRule="auto"/>
    </w:pPr>
    <w:rPr>
      <w:rFonts w:ascii="Calibri" w:eastAsiaTheme="minorEastAsia" w:hAnsi="Calibri"/>
      <w:szCs w:val="24"/>
    </w:rPr>
  </w:style>
  <w:style w:type="paragraph" w:styleId="Heading1">
    <w:name w:val="heading 1"/>
    <w:basedOn w:val="Normal"/>
    <w:next w:val="Normal"/>
    <w:link w:val="Heading1Char"/>
    <w:uiPriority w:val="9"/>
    <w:qFormat/>
    <w:rsid w:val="00AB4FFA"/>
    <w:pPr>
      <w:keepNext/>
      <w:keepLines/>
      <w:spacing w:before="480"/>
      <w:outlineLvl w:val="0"/>
    </w:pPr>
    <w:rPr>
      <w:rFonts w:asciiTheme="majorHAnsi" w:eastAsiaTheme="majorEastAsia" w:hAnsiTheme="majorHAnsi" w:cstheme="majorBidi"/>
      <w:b/>
      <w:bCs/>
      <w:color w:val="2C6EAB" w:themeColor="accent1" w:themeShade="B5"/>
      <w:sz w:val="32"/>
      <w:szCs w:val="32"/>
    </w:rPr>
  </w:style>
  <w:style w:type="paragraph" w:styleId="Heading2">
    <w:name w:val="heading 2"/>
    <w:basedOn w:val="Normal"/>
    <w:next w:val="Normal"/>
    <w:link w:val="Heading2Char"/>
    <w:uiPriority w:val="9"/>
    <w:unhideWhenUsed/>
    <w:qFormat/>
    <w:rsid w:val="009A16BC"/>
    <w:pPr>
      <w:keepNext/>
      <w:keepLines/>
      <w:spacing w:before="240" w:after="240"/>
      <w:outlineLvl w:val="1"/>
    </w:pPr>
    <w:rPr>
      <w:rFonts w:asciiTheme="majorHAnsi" w:eastAsiaTheme="majorEastAsia" w:hAnsiTheme="majorHAnsi" w:cstheme="majorBidi"/>
      <w:b/>
      <w:bCs/>
      <w:color w:val="2E74B5" w:themeColor="accent1" w:themeShade="BF"/>
      <w:sz w:val="26"/>
      <w:szCs w:val="26"/>
    </w:rPr>
  </w:style>
  <w:style w:type="paragraph" w:styleId="Heading3">
    <w:name w:val="heading 3"/>
    <w:basedOn w:val="Normal"/>
    <w:next w:val="Normal"/>
    <w:link w:val="Heading3Char"/>
    <w:uiPriority w:val="9"/>
    <w:unhideWhenUsed/>
    <w:qFormat/>
    <w:rsid w:val="009A16BC"/>
    <w:pPr>
      <w:keepNext/>
      <w:keepLines/>
      <w:spacing w:before="20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iPriority w:val="9"/>
    <w:unhideWhenUsed/>
    <w:qFormat/>
    <w:rsid w:val="00E4137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AB4FFA"/>
    <w:pPr>
      <w:keepNext/>
      <w:keepLines/>
      <w:spacing w:before="200"/>
      <w:outlineLvl w:val="4"/>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4FFA"/>
    <w:rPr>
      <w:rFonts w:asciiTheme="majorHAnsi" w:eastAsiaTheme="majorEastAsia" w:hAnsiTheme="majorHAnsi" w:cstheme="majorBidi"/>
      <w:b/>
      <w:bCs/>
      <w:color w:val="2C6EAB" w:themeColor="accent1" w:themeShade="B5"/>
      <w:sz w:val="32"/>
      <w:szCs w:val="32"/>
    </w:rPr>
  </w:style>
  <w:style w:type="character" w:customStyle="1" w:styleId="Heading2Char">
    <w:name w:val="Heading 2 Char"/>
    <w:basedOn w:val="DefaultParagraphFont"/>
    <w:link w:val="Heading2"/>
    <w:uiPriority w:val="9"/>
    <w:rsid w:val="009A16BC"/>
    <w:rPr>
      <w:rFonts w:asciiTheme="majorHAnsi" w:eastAsiaTheme="majorEastAsia" w:hAnsiTheme="majorHAnsi" w:cstheme="majorBidi"/>
      <w:b/>
      <w:bCs/>
      <w:color w:val="2E74B5" w:themeColor="accent1" w:themeShade="BF"/>
      <w:sz w:val="26"/>
      <w:szCs w:val="26"/>
    </w:rPr>
  </w:style>
  <w:style w:type="character" w:customStyle="1" w:styleId="Heading3Char">
    <w:name w:val="Heading 3 Char"/>
    <w:basedOn w:val="DefaultParagraphFont"/>
    <w:link w:val="Heading3"/>
    <w:uiPriority w:val="9"/>
    <w:rsid w:val="009A16BC"/>
    <w:rPr>
      <w:rFonts w:asciiTheme="majorHAnsi" w:eastAsiaTheme="majorEastAsia" w:hAnsiTheme="majorHAnsi" w:cstheme="majorBidi"/>
      <w:b/>
      <w:bCs/>
      <w:color w:val="5B9BD5" w:themeColor="accent1"/>
      <w:szCs w:val="24"/>
    </w:rPr>
  </w:style>
  <w:style w:type="character" w:customStyle="1" w:styleId="Heading4Char">
    <w:name w:val="Heading 4 Char"/>
    <w:basedOn w:val="DefaultParagraphFont"/>
    <w:link w:val="Heading4"/>
    <w:uiPriority w:val="9"/>
    <w:rsid w:val="00E41373"/>
    <w:rPr>
      <w:rFonts w:asciiTheme="majorHAnsi" w:eastAsiaTheme="majorEastAsia" w:hAnsiTheme="majorHAnsi" w:cstheme="majorBidi"/>
      <w:i/>
      <w:iCs/>
      <w:color w:val="2E74B5" w:themeColor="accent1" w:themeShade="BF"/>
      <w:szCs w:val="24"/>
    </w:rPr>
  </w:style>
  <w:style w:type="character" w:customStyle="1" w:styleId="Heading5Char">
    <w:name w:val="Heading 5 Char"/>
    <w:basedOn w:val="DefaultParagraphFont"/>
    <w:link w:val="Heading5"/>
    <w:uiPriority w:val="9"/>
    <w:rsid w:val="00AB4FFA"/>
    <w:rPr>
      <w:rFonts w:asciiTheme="majorHAnsi" w:eastAsiaTheme="majorEastAsia" w:hAnsiTheme="majorHAnsi" w:cstheme="majorBidi"/>
      <w:color w:val="1F4D78" w:themeColor="accent1" w:themeShade="7F"/>
      <w:szCs w:val="24"/>
    </w:rPr>
  </w:style>
  <w:style w:type="paragraph" w:styleId="ListParagraph">
    <w:name w:val="List Paragraph"/>
    <w:basedOn w:val="Normal"/>
    <w:uiPriority w:val="34"/>
    <w:qFormat/>
    <w:rsid w:val="009A16BC"/>
    <w:pPr>
      <w:ind w:left="720"/>
      <w:contextualSpacing/>
    </w:pPr>
  </w:style>
  <w:style w:type="paragraph" w:customStyle="1" w:styleId="Tableheading">
    <w:name w:val="Table heading"/>
    <w:basedOn w:val="Normal"/>
    <w:next w:val="Normal"/>
    <w:link w:val="TableheadingChar"/>
    <w:qFormat/>
    <w:rsid w:val="009A16BC"/>
    <w:pPr>
      <w:keepNext/>
      <w:tabs>
        <w:tab w:val="left" w:pos="426"/>
      </w:tabs>
      <w:spacing w:after="0"/>
    </w:pPr>
    <w:rPr>
      <w:rFonts w:asciiTheme="majorHAnsi" w:hAnsiTheme="majorHAnsi" w:cstheme="majorHAnsi"/>
      <w:b/>
      <w:color w:val="000000"/>
      <w:sz w:val="20"/>
    </w:rPr>
  </w:style>
  <w:style w:type="character" w:customStyle="1" w:styleId="TableheadingChar">
    <w:name w:val="Table heading Char"/>
    <w:basedOn w:val="DefaultParagraphFont"/>
    <w:link w:val="Tableheading"/>
    <w:rsid w:val="009A16BC"/>
    <w:rPr>
      <w:rFonts w:asciiTheme="majorHAnsi" w:eastAsiaTheme="minorEastAsia" w:hAnsiTheme="majorHAnsi" w:cstheme="majorHAnsi"/>
      <w:b/>
      <w:color w:val="000000"/>
      <w:sz w:val="20"/>
      <w:szCs w:val="24"/>
    </w:rPr>
  </w:style>
  <w:style w:type="paragraph" w:customStyle="1" w:styleId="Figureheading">
    <w:name w:val="Figure heading"/>
    <w:basedOn w:val="Normal"/>
    <w:link w:val="FigureheadingChar"/>
    <w:qFormat/>
    <w:rsid w:val="00C66BFD"/>
    <w:pPr>
      <w:keepNext/>
      <w:spacing w:after="0"/>
    </w:pPr>
    <w:rPr>
      <w:b/>
      <w:sz w:val="20"/>
      <w:lang w:val="en-US" w:eastAsia="en-AU"/>
    </w:rPr>
  </w:style>
  <w:style w:type="character" w:customStyle="1" w:styleId="FigureheadingChar">
    <w:name w:val="Figure heading Char"/>
    <w:basedOn w:val="DefaultParagraphFont"/>
    <w:link w:val="Figureheading"/>
    <w:rsid w:val="00C66BFD"/>
    <w:rPr>
      <w:rFonts w:ascii="Calibri" w:eastAsiaTheme="minorEastAsia" w:hAnsi="Calibri"/>
      <w:b/>
      <w:sz w:val="20"/>
      <w:szCs w:val="24"/>
      <w:lang w:val="en-US" w:eastAsia="en-AU"/>
    </w:rPr>
  </w:style>
  <w:style w:type="table" w:customStyle="1" w:styleId="LightList-Accent11">
    <w:name w:val="Light List - Accent 11"/>
    <w:basedOn w:val="TableNormal"/>
    <w:uiPriority w:val="61"/>
    <w:rsid w:val="009A16BC"/>
    <w:pPr>
      <w:spacing w:after="0" w:line="240" w:lineRule="auto"/>
    </w:pPr>
    <w:rPr>
      <w:rFonts w:eastAsiaTheme="minorEastAsia"/>
      <w:sz w:val="24"/>
      <w:szCs w:val="24"/>
      <w:lang w:val="en-US"/>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TableGrid">
    <w:name w:val="Table Grid"/>
    <w:basedOn w:val="TableNormal"/>
    <w:uiPriority w:val="59"/>
    <w:rsid w:val="009A16BC"/>
    <w:pPr>
      <w:spacing w:after="0" w:line="240" w:lineRule="auto"/>
    </w:pPr>
    <w:rPr>
      <w:rFonts w:eastAsiaTheme="minorEastAs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9A16BC"/>
    <w:rPr>
      <w:b/>
      <w:bCs/>
    </w:rPr>
  </w:style>
  <w:style w:type="table" w:customStyle="1" w:styleId="GridTable4-Accent11">
    <w:name w:val="Grid Table 4 - Accent 11"/>
    <w:basedOn w:val="TableNormal"/>
    <w:uiPriority w:val="49"/>
    <w:rsid w:val="009A16BC"/>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NormalWeb">
    <w:name w:val="Normal (Web)"/>
    <w:basedOn w:val="Normal"/>
    <w:uiPriority w:val="99"/>
    <w:unhideWhenUsed/>
    <w:rsid w:val="00777F30"/>
    <w:pPr>
      <w:spacing w:before="100" w:beforeAutospacing="1" w:after="100" w:afterAutospacing="1" w:line="240" w:lineRule="auto"/>
    </w:pPr>
    <w:rPr>
      <w:rFonts w:ascii="Times New Roman" w:hAnsi="Times New Roman" w:cs="Times New Roman"/>
      <w:sz w:val="24"/>
      <w:lang w:eastAsia="en-AU"/>
    </w:rPr>
  </w:style>
  <w:style w:type="paragraph" w:styleId="Header">
    <w:name w:val="header"/>
    <w:basedOn w:val="Normal"/>
    <w:link w:val="HeaderChar"/>
    <w:uiPriority w:val="99"/>
    <w:unhideWhenUsed/>
    <w:rsid w:val="00206C4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6C4D"/>
    <w:rPr>
      <w:rFonts w:ascii="Calibri" w:eastAsiaTheme="minorEastAsia" w:hAnsi="Calibri"/>
      <w:szCs w:val="24"/>
    </w:rPr>
  </w:style>
  <w:style w:type="paragraph" w:styleId="Footer">
    <w:name w:val="footer"/>
    <w:basedOn w:val="Normal"/>
    <w:link w:val="FooterChar"/>
    <w:uiPriority w:val="99"/>
    <w:unhideWhenUsed/>
    <w:rsid w:val="00206C4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06C4D"/>
    <w:rPr>
      <w:rFonts w:ascii="Calibri" w:eastAsiaTheme="minorEastAsia" w:hAnsi="Calibri"/>
      <w:szCs w:val="24"/>
    </w:rPr>
  </w:style>
  <w:style w:type="character" w:styleId="Hyperlink">
    <w:name w:val="Hyperlink"/>
    <w:basedOn w:val="DefaultParagraphFont"/>
    <w:uiPriority w:val="99"/>
    <w:unhideWhenUsed/>
    <w:rsid w:val="00E41373"/>
    <w:rPr>
      <w:color w:val="0563C1" w:themeColor="hyperlink"/>
      <w:u w:val="single"/>
    </w:rPr>
  </w:style>
  <w:style w:type="paragraph" w:styleId="FootnoteText">
    <w:name w:val="footnote text"/>
    <w:basedOn w:val="Normal"/>
    <w:link w:val="FootnoteTextChar"/>
    <w:uiPriority w:val="99"/>
    <w:unhideWhenUsed/>
    <w:rsid w:val="00E41373"/>
    <w:pPr>
      <w:spacing w:after="0" w:line="240" w:lineRule="auto"/>
    </w:pPr>
    <w:rPr>
      <w:rFonts w:asciiTheme="minorHAnsi" w:eastAsiaTheme="minorHAnsi" w:hAnsiTheme="minorHAnsi"/>
      <w:sz w:val="20"/>
      <w:szCs w:val="20"/>
    </w:rPr>
  </w:style>
  <w:style w:type="character" w:customStyle="1" w:styleId="FootnoteTextChar">
    <w:name w:val="Footnote Text Char"/>
    <w:basedOn w:val="DefaultParagraphFont"/>
    <w:link w:val="FootnoteText"/>
    <w:uiPriority w:val="99"/>
    <w:rsid w:val="00E41373"/>
    <w:rPr>
      <w:sz w:val="20"/>
      <w:szCs w:val="20"/>
    </w:rPr>
  </w:style>
  <w:style w:type="character" w:styleId="FootnoteReference">
    <w:name w:val="footnote reference"/>
    <w:basedOn w:val="DefaultParagraphFont"/>
    <w:uiPriority w:val="99"/>
    <w:unhideWhenUsed/>
    <w:rsid w:val="00E41373"/>
    <w:rPr>
      <w:vertAlign w:val="superscript"/>
    </w:rPr>
  </w:style>
  <w:style w:type="paragraph" w:styleId="BodyTextIndent2">
    <w:name w:val="Body Text Indent 2"/>
    <w:basedOn w:val="Normal"/>
    <w:link w:val="BodyTextIndent2Char"/>
    <w:rsid w:val="00AB4FFA"/>
    <w:pPr>
      <w:tabs>
        <w:tab w:val="left" w:pos="4111"/>
      </w:tabs>
      <w:ind w:firstLine="1"/>
    </w:pPr>
    <w:rPr>
      <w:rFonts w:eastAsia="Times New Roman" w:cs="Times New Roman"/>
      <w:szCs w:val="20"/>
      <w:lang w:val="en-US" w:eastAsia="en-AU"/>
    </w:rPr>
  </w:style>
  <w:style w:type="character" w:customStyle="1" w:styleId="BodyTextIndent2Char">
    <w:name w:val="Body Text Indent 2 Char"/>
    <w:basedOn w:val="DefaultParagraphFont"/>
    <w:link w:val="BodyTextIndent2"/>
    <w:rsid w:val="00AB4FFA"/>
    <w:rPr>
      <w:rFonts w:ascii="Calibri" w:eastAsia="Times New Roman" w:hAnsi="Calibri" w:cs="Times New Roman"/>
      <w:szCs w:val="20"/>
      <w:lang w:val="en-US" w:eastAsia="en-AU"/>
    </w:rPr>
  </w:style>
  <w:style w:type="character" w:styleId="PageNumber">
    <w:name w:val="page number"/>
    <w:basedOn w:val="DefaultParagraphFont"/>
    <w:rsid w:val="00AB4FFA"/>
  </w:style>
  <w:style w:type="table" w:customStyle="1" w:styleId="LightShading-Accent11">
    <w:name w:val="Light Shading - Accent 11"/>
    <w:basedOn w:val="TableNormal"/>
    <w:uiPriority w:val="60"/>
    <w:rsid w:val="00AB4FFA"/>
    <w:pPr>
      <w:spacing w:after="0" w:line="240" w:lineRule="auto"/>
    </w:pPr>
    <w:rPr>
      <w:rFonts w:eastAsiaTheme="minorEastAsia"/>
      <w:color w:val="2E74B5" w:themeColor="accent1" w:themeShade="BF"/>
      <w:sz w:val="24"/>
      <w:szCs w:val="24"/>
      <w:lang w:val="en-US"/>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paragraph" w:styleId="BalloonText">
    <w:name w:val="Balloon Text"/>
    <w:basedOn w:val="Normal"/>
    <w:link w:val="BalloonTextChar"/>
    <w:uiPriority w:val="99"/>
    <w:semiHidden/>
    <w:unhideWhenUsed/>
    <w:rsid w:val="00AB4FFA"/>
    <w:rPr>
      <w:rFonts w:ascii="Tahoma" w:hAnsi="Tahoma" w:cs="Tahoma"/>
      <w:sz w:val="16"/>
      <w:szCs w:val="16"/>
    </w:rPr>
  </w:style>
  <w:style w:type="character" w:customStyle="1" w:styleId="BalloonTextChar">
    <w:name w:val="Balloon Text Char"/>
    <w:basedOn w:val="DefaultParagraphFont"/>
    <w:link w:val="BalloonText"/>
    <w:uiPriority w:val="99"/>
    <w:semiHidden/>
    <w:rsid w:val="00AB4FFA"/>
    <w:rPr>
      <w:rFonts w:ascii="Tahoma" w:eastAsiaTheme="minorEastAsia" w:hAnsi="Tahoma" w:cs="Tahoma"/>
      <w:sz w:val="16"/>
      <w:szCs w:val="16"/>
    </w:rPr>
  </w:style>
  <w:style w:type="paragraph" w:styleId="TOC1">
    <w:name w:val="toc 1"/>
    <w:basedOn w:val="Normal"/>
    <w:next w:val="Normal"/>
    <w:autoRedefine/>
    <w:uiPriority w:val="39"/>
    <w:unhideWhenUsed/>
    <w:rsid w:val="00AB4FFA"/>
    <w:pPr>
      <w:tabs>
        <w:tab w:val="right" w:leader="dot" w:pos="9350"/>
      </w:tabs>
      <w:spacing w:after="0"/>
      <w:ind w:left="709" w:hanging="709"/>
    </w:pPr>
  </w:style>
  <w:style w:type="paragraph" w:styleId="TOC2">
    <w:name w:val="toc 2"/>
    <w:basedOn w:val="Normal"/>
    <w:next w:val="Normal"/>
    <w:autoRedefine/>
    <w:uiPriority w:val="39"/>
    <w:unhideWhenUsed/>
    <w:rsid w:val="00AB4FFA"/>
    <w:pPr>
      <w:spacing w:after="100"/>
      <w:ind w:left="240"/>
    </w:pPr>
  </w:style>
  <w:style w:type="paragraph" w:styleId="TOC3">
    <w:name w:val="toc 3"/>
    <w:basedOn w:val="Normal"/>
    <w:next w:val="Normal"/>
    <w:autoRedefine/>
    <w:uiPriority w:val="39"/>
    <w:unhideWhenUsed/>
    <w:rsid w:val="00AB4FFA"/>
    <w:pPr>
      <w:spacing w:after="100"/>
      <w:ind w:left="480"/>
    </w:pPr>
  </w:style>
  <w:style w:type="character" w:styleId="Emphasis">
    <w:name w:val="Emphasis"/>
    <w:basedOn w:val="DefaultParagraphFont"/>
    <w:uiPriority w:val="20"/>
    <w:qFormat/>
    <w:rsid w:val="00AB4FFA"/>
    <w:rPr>
      <w:i/>
      <w:iCs/>
    </w:rPr>
  </w:style>
  <w:style w:type="character" w:styleId="IntenseEmphasis">
    <w:name w:val="Intense Emphasis"/>
    <w:basedOn w:val="DefaultParagraphFont"/>
    <w:uiPriority w:val="21"/>
    <w:qFormat/>
    <w:rsid w:val="00AB4FFA"/>
    <w:rPr>
      <w:b/>
      <w:bCs/>
      <w:i/>
      <w:iCs/>
      <w:color w:val="5B9BD5" w:themeColor="accent1"/>
    </w:rPr>
  </w:style>
  <w:style w:type="table" w:customStyle="1" w:styleId="LightList-Accent14">
    <w:name w:val="Light List - Accent 14"/>
    <w:basedOn w:val="TableNormal"/>
    <w:next w:val="LightList-Accent11"/>
    <w:uiPriority w:val="61"/>
    <w:rsid w:val="00AB4FFA"/>
    <w:pPr>
      <w:spacing w:after="0" w:line="240" w:lineRule="auto"/>
    </w:pPr>
    <w:rPr>
      <w:rFonts w:eastAsia="Calibri"/>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customStyle="1" w:styleId="CommentTextChar">
    <w:name w:val="Comment Text Char"/>
    <w:basedOn w:val="DefaultParagraphFont"/>
    <w:link w:val="CommentText"/>
    <w:uiPriority w:val="99"/>
    <w:semiHidden/>
    <w:rsid w:val="00AB4FFA"/>
    <w:rPr>
      <w:rFonts w:ascii="Calibri" w:eastAsiaTheme="minorEastAsia" w:hAnsi="Calibri"/>
      <w:sz w:val="20"/>
      <w:szCs w:val="20"/>
    </w:rPr>
  </w:style>
  <w:style w:type="paragraph" w:styleId="CommentText">
    <w:name w:val="annotation text"/>
    <w:basedOn w:val="Normal"/>
    <w:link w:val="CommentTextChar"/>
    <w:uiPriority w:val="99"/>
    <w:semiHidden/>
    <w:unhideWhenUsed/>
    <w:rsid w:val="00AB4FFA"/>
    <w:pPr>
      <w:spacing w:line="240" w:lineRule="auto"/>
    </w:pPr>
    <w:rPr>
      <w:sz w:val="20"/>
      <w:szCs w:val="20"/>
    </w:rPr>
  </w:style>
  <w:style w:type="character" w:customStyle="1" w:styleId="CommentSubjectChar">
    <w:name w:val="Comment Subject Char"/>
    <w:basedOn w:val="CommentTextChar"/>
    <w:link w:val="CommentSubject"/>
    <w:uiPriority w:val="99"/>
    <w:semiHidden/>
    <w:rsid w:val="00AB4FFA"/>
    <w:rPr>
      <w:rFonts w:ascii="Calibri" w:eastAsiaTheme="minorEastAsia" w:hAnsi="Calibri"/>
      <w:b/>
      <w:bCs/>
      <w:sz w:val="20"/>
      <w:szCs w:val="20"/>
    </w:rPr>
  </w:style>
  <w:style w:type="paragraph" w:styleId="CommentSubject">
    <w:name w:val="annotation subject"/>
    <w:basedOn w:val="CommentText"/>
    <w:next w:val="CommentText"/>
    <w:link w:val="CommentSubjectChar"/>
    <w:uiPriority w:val="99"/>
    <w:semiHidden/>
    <w:unhideWhenUsed/>
    <w:rsid w:val="00AB4FFA"/>
    <w:rPr>
      <w:b/>
      <w:bCs/>
    </w:rPr>
  </w:style>
  <w:style w:type="paragraph" w:styleId="DocumentMap">
    <w:name w:val="Document Map"/>
    <w:basedOn w:val="Normal"/>
    <w:link w:val="DocumentMapChar"/>
    <w:uiPriority w:val="99"/>
    <w:semiHidden/>
    <w:unhideWhenUsed/>
    <w:rsid w:val="00AB4FFA"/>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AB4FFA"/>
    <w:rPr>
      <w:rFonts w:ascii="Tahoma" w:eastAsiaTheme="minorEastAsia" w:hAnsi="Tahoma" w:cs="Tahoma"/>
      <w:sz w:val="16"/>
      <w:szCs w:val="16"/>
    </w:rPr>
  </w:style>
  <w:style w:type="paragraph" w:customStyle="1" w:styleId="Sources">
    <w:name w:val="Sources"/>
    <w:basedOn w:val="Normal"/>
    <w:next w:val="Normal"/>
    <w:link w:val="SourcesChar"/>
    <w:qFormat/>
    <w:rsid w:val="00AB4FFA"/>
    <w:pPr>
      <w:spacing w:after="0" w:line="240" w:lineRule="auto"/>
    </w:pPr>
    <w:rPr>
      <w:rFonts w:asciiTheme="minorHAnsi" w:eastAsiaTheme="minorHAnsi" w:hAnsiTheme="minorHAnsi"/>
      <w:sz w:val="18"/>
      <w:szCs w:val="18"/>
    </w:rPr>
  </w:style>
  <w:style w:type="character" w:customStyle="1" w:styleId="SourcesChar">
    <w:name w:val="Sources Char"/>
    <w:basedOn w:val="DefaultParagraphFont"/>
    <w:link w:val="Sources"/>
    <w:rsid w:val="00AB4FFA"/>
    <w:rPr>
      <w:sz w:val="18"/>
      <w:szCs w:val="18"/>
    </w:rPr>
  </w:style>
  <w:style w:type="table" w:styleId="LightList-Accent1">
    <w:name w:val="Light List Accent 1"/>
    <w:basedOn w:val="TableNormal"/>
    <w:uiPriority w:val="61"/>
    <w:rsid w:val="00AB4FFA"/>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paragraph" w:styleId="Title">
    <w:name w:val="Title"/>
    <w:basedOn w:val="Normal"/>
    <w:next w:val="Normal"/>
    <w:link w:val="TitleChar"/>
    <w:uiPriority w:val="10"/>
    <w:qFormat/>
    <w:rsid w:val="00B0530F"/>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B0530F"/>
    <w:rPr>
      <w:rFonts w:asciiTheme="majorHAnsi" w:eastAsiaTheme="majorEastAsia" w:hAnsiTheme="majorHAnsi" w:cstheme="majorBidi"/>
      <w:color w:val="323E4F" w:themeColor="text2" w:themeShade="BF"/>
      <w:spacing w:val="5"/>
      <w:kern w:val="28"/>
      <w:sz w:val="52"/>
      <w:szCs w:val="52"/>
    </w:rPr>
  </w:style>
  <w:style w:type="character" w:styleId="CommentReference">
    <w:name w:val="annotation reference"/>
    <w:basedOn w:val="DefaultParagraphFont"/>
    <w:uiPriority w:val="99"/>
    <w:semiHidden/>
    <w:unhideWhenUsed/>
    <w:rsid w:val="002D6EA2"/>
    <w:rPr>
      <w:sz w:val="16"/>
      <w:szCs w:val="16"/>
    </w:rPr>
  </w:style>
  <w:style w:type="paragraph" w:styleId="Revision">
    <w:name w:val="Revision"/>
    <w:hidden/>
    <w:uiPriority w:val="99"/>
    <w:semiHidden/>
    <w:rsid w:val="002D6EA2"/>
    <w:pPr>
      <w:spacing w:after="0" w:line="240" w:lineRule="auto"/>
    </w:pPr>
    <w:rPr>
      <w:rFonts w:ascii="Calibri" w:eastAsiaTheme="minorEastAsia" w:hAnsi="Calibri"/>
      <w:szCs w:val="24"/>
    </w:rPr>
  </w:style>
  <w:style w:type="table" w:customStyle="1" w:styleId="ListTable3-Accent11">
    <w:name w:val="List Table 3 - Accent 11"/>
    <w:basedOn w:val="TableNormal"/>
    <w:uiPriority w:val="48"/>
    <w:rsid w:val="006157B2"/>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character" w:styleId="FollowedHyperlink">
    <w:name w:val="FollowedHyperlink"/>
    <w:basedOn w:val="DefaultParagraphFont"/>
    <w:uiPriority w:val="99"/>
    <w:semiHidden/>
    <w:unhideWhenUsed/>
    <w:rsid w:val="00C2429F"/>
    <w:rPr>
      <w:color w:val="954F72" w:themeColor="followedHyperlink"/>
      <w:u w:val="single"/>
    </w:rPr>
  </w:style>
  <w:style w:type="paragraph" w:styleId="NoSpacing">
    <w:name w:val="No Spacing"/>
    <w:uiPriority w:val="1"/>
    <w:qFormat/>
    <w:rsid w:val="00EB4CC2"/>
    <w:pPr>
      <w:spacing w:after="0" w:line="240" w:lineRule="auto"/>
    </w:pPr>
    <w:rPr>
      <w:rFonts w:ascii="Calibri" w:eastAsiaTheme="minorEastAsia" w:hAnsi="Calibr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403072">
      <w:bodyDiv w:val="1"/>
      <w:marLeft w:val="0"/>
      <w:marRight w:val="0"/>
      <w:marTop w:val="0"/>
      <w:marBottom w:val="0"/>
      <w:divBdr>
        <w:top w:val="none" w:sz="0" w:space="0" w:color="auto"/>
        <w:left w:val="none" w:sz="0" w:space="0" w:color="auto"/>
        <w:bottom w:val="none" w:sz="0" w:space="0" w:color="auto"/>
        <w:right w:val="none" w:sz="0" w:space="0" w:color="auto"/>
      </w:divBdr>
    </w:div>
    <w:div w:id="232935659">
      <w:bodyDiv w:val="1"/>
      <w:marLeft w:val="0"/>
      <w:marRight w:val="0"/>
      <w:marTop w:val="0"/>
      <w:marBottom w:val="0"/>
      <w:divBdr>
        <w:top w:val="none" w:sz="0" w:space="0" w:color="auto"/>
        <w:left w:val="none" w:sz="0" w:space="0" w:color="auto"/>
        <w:bottom w:val="none" w:sz="0" w:space="0" w:color="auto"/>
        <w:right w:val="none" w:sz="0" w:space="0" w:color="auto"/>
      </w:divBdr>
    </w:div>
    <w:div w:id="898512796">
      <w:bodyDiv w:val="1"/>
      <w:marLeft w:val="0"/>
      <w:marRight w:val="0"/>
      <w:marTop w:val="0"/>
      <w:marBottom w:val="0"/>
      <w:divBdr>
        <w:top w:val="none" w:sz="0" w:space="0" w:color="auto"/>
        <w:left w:val="none" w:sz="0" w:space="0" w:color="auto"/>
        <w:bottom w:val="none" w:sz="0" w:space="0" w:color="auto"/>
        <w:right w:val="none" w:sz="0" w:space="0" w:color="auto"/>
      </w:divBdr>
    </w:div>
    <w:div w:id="924613435">
      <w:bodyDiv w:val="1"/>
      <w:marLeft w:val="0"/>
      <w:marRight w:val="0"/>
      <w:marTop w:val="0"/>
      <w:marBottom w:val="0"/>
      <w:divBdr>
        <w:top w:val="none" w:sz="0" w:space="0" w:color="auto"/>
        <w:left w:val="none" w:sz="0" w:space="0" w:color="auto"/>
        <w:bottom w:val="none" w:sz="0" w:space="0" w:color="auto"/>
        <w:right w:val="none" w:sz="0" w:space="0" w:color="auto"/>
      </w:divBdr>
    </w:div>
    <w:div w:id="964240938">
      <w:bodyDiv w:val="1"/>
      <w:marLeft w:val="0"/>
      <w:marRight w:val="0"/>
      <w:marTop w:val="0"/>
      <w:marBottom w:val="0"/>
      <w:divBdr>
        <w:top w:val="none" w:sz="0" w:space="0" w:color="auto"/>
        <w:left w:val="none" w:sz="0" w:space="0" w:color="auto"/>
        <w:bottom w:val="none" w:sz="0" w:space="0" w:color="auto"/>
        <w:right w:val="none" w:sz="0" w:space="0" w:color="auto"/>
      </w:divBdr>
    </w:div>
    <w:div w:id="1060056987">
      <w:bodyDiv w:val="1"/>
      <w:marLeft w:val="0"/>
      <w:marRight w:val="0"/>
      <w:marTop w:val="0"/>
      <w:marBottom w:val="0"/>
      <w:divBdr>
        <w:top w:val="none" w:sz="0" w:space="0" w:color="auto"/>
        <w:left w:val="none" w:sz="0" w:space="0" w:color="auto"/>
        <w:bottom w:val="none" w:sz="0" w:space="0" w:color="auto"/>
        <w:right w:val="none" w:sz="0" w:space="0" w:color="auto"/>
      </w:divBdr>
    </w:div>
    <w:div w:id="1079138665">
      <w:bodyDiv w:val="1"/>
      <w:marLeft w:val="0"/>
      <w:marRight w:val="0"/>
      <w:marTop w:val="0"/>
      <w:marBottom w:val="0"/>
      <w:divBdr>
        <w:top w:val="none" w:sz="0" w:space="0" w:color="auto"/>
        <w:left w:val="none" w:sz="0" w:space="0" w:color="auto"/>
        <w:bottom w:val="none" w:sz="0" w:space="0" w:color="auto"/>
        <w:right w:val="none" w:sz="0" w:space="0" w:color="auto"/>
      </w:divBdr>
    </w:div>
    <w:div w:id="1191259742">
      <w:bodyDiv w:val="1"/>
      <w:marLeft w:val="0"/>
      <w:marRight w:val="0"/>
      <w:marTop w:val="0"/>
      <w:marBottom w:val="0"/>
      <w:divBdr>
        <w:top w:val="none" w:sz="0" w:space="0" w:color="auto"/>
        <w:left w:val="none" w:sz="0" w:space="0" w:color="auto"/>
        <w:bottom w:val="none" w:sz="0" w:space="0" w:color="auto"/>
        <w:right w:val="none" w:sz="0" w:space="0" w:color="auto"/>
      </w:divBdr>
    </w:div>
    <w:div w:id="1429228065">
      <w:bodyDiv w:val="1"/>
      <w:marLeft w:val="0"/>
      <w:marRight w:val="0"/>
      <w:marTop w:val="0"/>
      <w:marBottom w:val="0"/>
      <w:divBdr>
        <w:top w:val="none" w:sz="0" w:space="0" w:color="auto"/>
        <w:left w:val="none" w:sz="0" w:space="0" w:color="auto"/>
        <w:bottom w:val="none" w:sz="0" w:space="0" w:color="auto"/>
        <w:right w:val="none" w:sz="0" w:space="0" w:color="auto"/>
      </w:divBdr>
    </w:div>
    <w:div w:id="1510870684">
      <w:bodyDiv w:val="1"/>
      <w:marLeft w:val="0"/>
      <w:marRight w:val="0"/>
      <w:marTop w:val="0"/>
      <w:marBottom w:val="0"/>
      <w:divBdr>
        <w:top w:val="none" w:sz="0" w:space="0" w:color="auto"/>
        <w:left w:val="none" w:sz="0" w:space="0" w:color="auto"/>
        <w:bottom w:val="none" w:sz="0" w:space="0" w:color="auto"/>
        <w:right w:val="none" w:sz="0" w:space="0" w:color="auto"/>
      </w:divBdr>
    </w:div>
    <w:div w:id="1799956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ruce.rasmussen@vu.edu.au" TargetMode="External"/><Relationship Id="rId13" Type="http://schemas.openxmlformats.org/officeDocument/2006/relationships/chart" Target="charts/chart4.xml"/><Relationship Id="rId18" Type="http://schemas.openxmlformats.org/officeDocument/2006/relationships/chart" Target="charts/chart9.xm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www.healthdata.org/gbd/data" TargetMode="External"/><Relationship Id="rId7" Type="http://schemas.openxmlformats.org/officeDocument/2006/relationships/endnotes" Target="endnotes.xml"/><Relationship Id="rId12" Type="http://schemas.openxmlformats.org/officeDocument/2006/relationships/chart" Target="charts/chart3.xml"/><Relationship Id="rId17" Type="http://schemas.openxmlformats.org/officeDocument/2006/relationships/chart" Target="charts/chart8.xml"/><Relationship Id="rId25" Type="http://schemas.openxmlformats.org/officeDocument/2006/relationships/hyperlink" Target="http://esa.un.org/unpd/wpp/" TargetMode="External"/><Relationship Id="rId2" Type="http://schemas.openxmlformats.org/officeDocument/2006/relationships/numbering" Target="numbering.xml"/><Relationship Id="rId16" Type="http://schemas.openxmlformats.org/officeDocument/2006/relationships/chart" Target="charts/chart7.xml"/><Relationship Id="rId20" Type="http://schemas.openxmlformats.org/officeDocument/2006/relationships/hyperlink" Target="http://global-health.healthgrove.com/l/165/Jiangs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24" Type="http://schemas.openxmlformats.org/officeDocument/2006/relationships/hyperlink" Target="https://scholar.google.com.au/scholar?q=Aggregate+Effects+of+AIDS+on+Development&amp;hl=en&amp;as_sdt=0&amp;as_vis=1&amp;oi=scholart&amp;sa=X&amp;ved=0ahUKEwiiivmjqYzSAhXJKZQKHWqYASQQgQMIGTAA" TargetMode="External"/><Relationship Id="rId5" Type="http://schemas.openxmlformats.org/officeDocument/2006/relationships/webSettings" Target="webSettings.xml"/><Relationship Id="rId15" Type="http://schemas.openxmlformats.org/officeDocument/2006/relationships/chart" Target="charts/chart6.xml"/><Relationship Id="rId23" Type="http://schemas.openxmlformats.org/officeDocument/2006/relationships/hyperlink" Target="http://www.ilo.org/ilostat/faces/oracle/webcenter/portalapp/pagehierarchy/Page137.jspx?_afrLoop=243696333172726&amp;clean=true" TargetMode="External"/><Relationship Id="rId28" Type="http://schemas.openxmlformats.org/officeDocument/2006/relationships/theme" Target="theme/theme1.xml"/><Relationship Id="rId10" Type="http://schemas.openxmlformats.org/officeDocument/2006/relationships/chart" Target="charts/chart1.xml"/><Relationship Id="rId19" Type="http://schemas.openxmlformats.org/officeDocument/2006/relationships/hyperlink" Target="http://www.stats.gov.cn/tjsj/ndsj/2016/indexeh.htm"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hart" Target="charts/chart5.xml"/><Relationship Id="rId22" Type="http://schemas.openxmlformats.org/officeDocument/2006/relationships/hyperlink" Target="http://www.healthdata.org/south-africa" TargetMode="External"/><Relationship Id="rId27"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file:///C:\My%20Documents\My%20Documents\ABAC%20August%202016%20and%202017\Jaingsu%20China\Early%20Retirement%20LF%20model%20Jiangsu%207%20sept%202017.xlsx" TargetMode="Externa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_rels/chart3.xml.rels><?xml version="1.0" encoding="UTF-8" standalone="yes"?>
<Relationships xmlns="http://schemas.openxmlformats.org/package/2006/relationships"><Relationship Id="rId1" Type="http://schemas.openxmlformats.org/officeDocument/2006/relationships/oleObject" Target="file:///C:\My%20Documents\My%20Documents\ABAC%20August%202016%20and%202017\Jaingsu%20China\Early%20Retirement%20LF%20model%20Jiangsu%207%20sept%202017.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My%20Documents\My%20Documents\ABAC%20August%202016%20and%202017\Jaingsu%20China\Early%20Retirement%20LF%20model%20Jiangsu%207%20sept%202017.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My%20Documents\My%20Documents\ABAC%20August%202016%20and%202017\Jaingsu%20China\Early%20Retirement%20LF%20model%20Jiangsu%207%20sept%202017.xlsx" TargetMode="External"/></Relationships>
</file>

<file path=word/charts/_rels/chart6.xml.rels><?xml version="1.0" encoding="UTF-8" standalone="yes"?>
<Relationships xmlns="http://schemas.openxmlformats.org/package/2006/relationships"><Relationship Id="rId3" Type="http://schemas.openxmlformats.org/officeDocument/2006/relationships/oleObject" Target="file:///C:\My%20Documents\My%20Documents\ABAC%20August%202016%20and%202017\Jaingsu%20China\JIANGSU%20DALYs%202013%2050%20to%2064%20years%20per%20100000.xlsx" TargetMode="External"/><Relationship Id="rId2" Type="http://schemas.microsoft.com/office/2011/relationships/chartColorStyle" Target="colors2.xml"/><Relationship Id="rId1" Type="http://schemas.microsoft.com/office/2011/relationships/chartStyle" Target="style2.xml"/></Relationships>
</file>

<file path=word/charts/_rels/chart7.xml.rels><?xml version="1.0" encoding="UTF-8" standalone="yes"?>
<Relationships xmlns="http://schemas.openxmlformats.org/package/2006/relationships"><Relationship Id="rId1" Type="http://schemas.openxmlformats.org/officeDocument/2006/relationships/oleObject" Target="file:///C:\My%20Documents\My%20Documents\ABAC%20August%202016%20and%202017\Jaingsu%20China\Early%20Retirement%20LF%20model%20Jiangsu%207%20sept%202017.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C:\My%20Documents\My%20Documents\ABAC%20August%202016%20and%202017\Jaingsu%20China\Early%20Retirement%20LF%20model%20Jiangsu%207%20sept%202017.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C:\My%20Documents\My%20Documents\ABAC%20August%202016%20and%202017\Jaingsu%20China\Early%20Retirement%20LF%20model%20Jiangsu%207%20sept%202017.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5.2203014853028432E-2"/>
          <c:y val="3.7319762510602206E-2"/>
          <c:w val="0.88928490260556514"/>
          <c:h val="0.8776873501499336"/>
        </c:manualLayout>
      </c:layout>
      <c:barChart>
        <c:barDir val="bar"/>
        <c:grouping val="clustered"/>
        <c:varyColors val="0"/>
        <c:ser>
          <c:idx val="0"/>
          <c:order val="0"/>
          <c:tx>
            <c:strRef>
              <c:f>Jiangsu!$I$3</c:f>
              <c:strCache>
                <c:ptCount val="1"/>
                <c:pt idx="0">
                  <c:v>Change in % GDP Total Absenteeism + Presenteeism + early retirement 2015-30</c:v>
                </c:pt>
              </c:strCache>
            </c:strRef>
          </c:tx>
          <c:invertIfNegative val="0"/>
          <c:cat>
            <c:strRef>
              <c:f>Jiangsu!$A$4:$A$13</c:f>
              <c:strCache>
                <c:ptCount val="10"/>
                <c:pt idx="0">
                  <c:v>Jiangsu</c:v>
                </c:pt>
                <c:pt idx="1">
                  <c:v>China</c:v>
                </c:pt>
                <c:pt idx="2">
                  <c:v>Brazil</c:v>
                </c:pt>
                <c:pt idx="3">
                  <c:v>India</c:v>
                </c:pt>
                <c:pt idx="4">
                  <c:v>Indonesia</c:v>
                </c:pt>
                <c:pt idx="5">
                  <c:v>Japan</c:v>
                </c:pt>
                <c:pt idx="6">
                  <c:v>Malaysia</c:v>
                </c:pt>
                <c:pt idx="7">
                  <c:v>Philippines</c:v>
                </c:pt>
                <c:pt idx="8">
                  <c:v>Singapore</c:v>
                </c:pt>
                <c:pt idx="9">
                  <c:v>USA </c:v>
                </c:pt>
              </c:strCache>
            </c:strRef>
          </c:cat>
          <c:val>
            <c:numRef>
              <c:f>Jiangsu!$I$4:$I$13</c:f>
              <c:numCache>
                <c:formatCode>0.0%</c:formatCode>
                <c:ptCount val="10"/>
                <c:pt idx="0">
                  <c:v>9.999999999999995E-3</c:v>
                </c:pt>
                <c:pt idx="1">
                  <c:v>1.0072502215548937E-2</c:v>
                </c:pt>
                <c:pt idx="2">
                  <c:v>2.3999999999999994E-3</c:v>
                </c:pt>
                <c:pt idx="3">
                  <c:v>5.9999999999999915E-3</c:v>
                </c:pt>
                <c:pt idx="4">
                  <c:v>7.1008470222704984E-3</c:v>
                </c:pt>
                <c:pt idx="5">
                  <c:v>9.999999999999995E-3</c:v>
                </c:pt>
                <c:pt idx="6">
                  <c:v>6.4398174511390988E-3</c:v>
                </c:pt>
                <c:pt idx="7">
                  <c:v>3.0000000000000027E-3</c:v>
                </c:pt>
                <c:pt idx="8">
                  <c:v>3.0000000000000027E-3</c:v>
                </c:pt>
                <c:pt idx="9">
                  <c:v>-2.9114468113489722E-3</c:v>
                </c:pt>
              </c:numCache>
            </c:numRef>
          </c:val>
          <c:extLst>
            <c:ext xmlns:c16="http://schemas.microsoft.com/office/drawing/2014/chart" uri="{C3380CC4-5D6E-409C-BE32-E72D297353CC}">
              <c16:uniqueId val="{00000000-DA47-42AF-9EA9-17EC2D82B7A2}"/>
            </c:ext>
          </c:extLst>
        </c:ser>
        <c:dLbls>
          <c:showLegendKey val="0"/>
          <c:showVal val="0"/>
          <c:showCatName val="0"/>
          <c:showSerName val="0"/>
          <c:showPercent val="0"/>
          <c:showBubbleSize val="0"/>
        </c:dLbls>
        <c:gapWidth val="150"/>
        <c:axId val="38404096"/>
        <c:axId val="38405632"/>
      </c:barChart>
      <c:catAx>
        <c:axId val="38404096"/>
        <c:scaling>
          <c:orientation val="minMax"/>
        </c:scaling>
        <c:delete val="0"/>
        <c:axPos val="l"/>
        <c:numFmt formatCode="General" sourceLinked="0"/>
        <c:majorTickMark val="out"/>
        <c:minorTickMark val="none"/>
        <c:tickLblPos val="nextTo"/>
        <c:txPr>
          <a:bodyPr/>
          <a:lstStyle/>
          <a:p>
            <a:pPr>
              <a:defRPr sz="900"/>
            </a:pPr>
            <a:endParaRPr lang="en-US"/>
          </a:p>
        </c:txPr>
        <c:crossAx val="38405632"/>
        <c:crosses val="autoZero"/>
        <c:auto val="1"/>
        <c:lblAlgn val="ctr"/>
        <c:lblOffset val="100"/>
        <c:noMultiLvlLbl val="0"/>
      </c:catAx>
      <c:valAx>
        <c:axId val="38405632"/>
        <c:scaling>
          <c:orientation val="minMax"/>
        </c:scaling>
        <c:delete val="0"/>
        <c:axPos val="b"/>
        <c:majorGridlines/>
        <c:numFmt formatCode="0.0%" sourceLinked="1"/>
        <c:majorTickMark val="out"/>
        <c:minorTickMark val="none"/>
        <c:tickLblPos val="nextTo"/>
        <c:txPr>
          <a:bodyPr/>
          <a:lstStyle/>
          <a:p>
            <a:pPr>
              <a:defRPr sz="900"/>
            </a:pPr>
            <a:endParaRPr lang="en-US"/>
          </a:p>
        </c:txPr>
        <c:crossAx val="38404096"/>
        <c:crosses val="autoZero"/>
        <c:crossBetween val="between"/>
      </c:valAx>
    </c:plotArea>
    <c:plotVisOnly val="1"/>
    <c:dispBlanksAs val="gap"/>
    <c:showDLblsOverMax val="0"/>
  </c:chart>
  <c:spPr>
    <a:ln>
      <a:no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Table!$G$5</c:f>
              <c:strCache>
                <c:ptCount val="1"/>
                <c:pt idx="0">
                  <c:v>0 - 4</c:v>
                </c:pt>
              </c:strCache>
            </c:strRef>
          </c:tx>
          <c:spPr>
            <a:solidFill>
              <a:schemeClr val="accent6"/>
            </a:solidFill>
            <a:ln>
              <a:noFill/>
            </a:ln>
            <a:effectLst/>
            <a:sp3d/>
          </c:spPr>
          <c:invertIfNegative val="0"/>
          <c:cat>
            <c:numRef>
              <c:f>Table!$I$4:$L$4</c:f>
              <c:numCache>
                <c:formatCode>General</c:formatCode>
                <c:ptCount val="4"/>
                <c:pt idx="0">
                  <c:v>1995</c:v>
                </c:pt>
                <c:pt idx="1">
                  <c:v>2000</c:v>
                </c:pt>
                <c:pt idx="2">
                  <c:v>2010</c:v>
                </c:pt>
                <c:pt idx="3">
                  <c:v>2015</c:v>
                </c:pt>
              </c:numCache>
            </c:numRef>
          </c:cat>
          <c:val>
            <c:numRef>
              <c:f>Table!$I$5:$L$5</c:f>
              <c:numCache>
                <c:formatCode>0%</c:formatCode>
                <c:ptCount val="4"/>
                <c:pt idx="0">
                  <c:v>0.22103875248510313</c:v>
                </c:pt>
                <c:pt idx="1">
                  <c:v>0.19655821457381017</c:v>
                </c:pt>
                <c:pt idx="2">
                  <c:v>0.13005584306403226</c:v>
                </c:pt>
                <c:pt idx="3">
                  <c:v>0.13559932546810188</c:v>
                </c:pt>
              </c:numCache>
            </c:numRef>
          </c:val>
          <c:extLst>
            <c:ext xmlns:c16="http://schemas.microsoft.com/office/drawing/2014/chart" uri="{C3380CC4-5D6E-409C-BE32-E72D297353CC}">
              <c16:uniqueId val="{00000000-2E13-420F-8B6C-BA77F7F6FBE6}"/>
            </c:ext>
          </c:extLst>
        </c:ser>
        <c:ser>
          <c:idx val="1"/>
          <c:order val="1"/>
          <c:tx>
            <c:strRef>
              <c:f>Table!$G$6</c:f>
              <c:strCache>
                <c:ptCount val="1"/>
                <c:pt idx="0">
                  <c:v>15 - 64</c:v>
                </c:pt>
              </c:strCache>
            </c:strRef>
          </c:tx>
          <c:spPr>
            <a:solidFill>
              <a:schemeClr val="accent5"/>
            </a:solidFill>
            <a:ln>
              <a:noFill/>
            </a:ln>
            <a:effectLst/>
            <a:sp3d/>
          </c:spPr>
          <c:invertIfNegative val="0"/>
          <c:cat>
            <c:numRef>
              <c:f>Table!$I$4:$L$4</c:f>
              <c:numCache>
                <c:formatCode>General</c:formatCode>
                <c:ptCount val="4"/>
                <c:pt idx="0">
                  <c:v>1995</c:v>
                </c:pt>
                <c:pt idx="1">
                  <c:v>2000</c:v>
                </c:pt>
                <c:pt idx="2">
                  <c:v>2010</c:v>
                </c:pt>
                <c:pt idx="3">
                  <c:v>2015</c:v>
                </c:pt>
              </c:numCache>
            </c:numRef>
          </c:cat>
          <c:val>
            <c:numRef>
              <c:f>Table!$I$6:$L$6</c:f>
              <c:numCache>
                <c:formatCode>0%</c:formatCode>
                <c:ptCount val="4"/>
                <c:pt idx="0">
                  <c:v>0.69852364938253952</c:v>
                </c:pt>
                <c:pt idx="1">
                  <c:v>0.71591825759612804</c:v>
                </c:pt>
                <c:pt idx="2">
                  <c:v>0.7610219910899203</c:v>
                </c:pt>
                <c:pt idx="3">
                  <c:v>0.73749386201816847</c:v>
                </c:pt>
              </c:numCache>
            </c:numRef>
          </c:val>
          <c:extLst>
            <c:ext xmlns:c16="http://schemas.microsoft.com/office/drawing/2014/chart" uri="{C3380CC4-5D6E-409C-BE32-E72D297353CC}">
              <c16:uniqueId val="{00000001-2E13-420F-8B6C-BA77F7F6FBE6}"/>
            </c:ext>
          </c:extLst>
        </c:ser>
        <c:ser>
          <c:idx val="2"/>
          <c:order val="2"/>
          <c:tx>
            <c:strRef>
              <c:f>Table!$G$7</c:f>
              <c:strCache>
                <c:ptCount val="1"/>
                <c:pt idx="0">
                  <c:v>65+</c:v>
                </c:pt>
              </c:strCache>
            </c:strRef>
          </c:tx>
          <c:spPr>
            <a:solidFill>
              <a:schemeClr val="accent4"/>
            </a:solidFill>
            <a:ln>
              <a:noFill/>
            </a:ln>
            <a:effectLst/>
            <a:sp3d/>
          </c:spPr>
          <c:invertIfNegative val="0"/>
          <c:cat>
            <c:numRef>
              <c:f>Table!$I$4:$L$4</c:f>
              <c:numCache>
                <c:formatCode>General</c:formatCode>
                <c:ptCount val="4"/>
                <c:pt idx="0">
                  <c:v>1995</c:v>
                </c:pt>
                <c:pt idx="1">
                  <c:v>2000</c:v>
                </c:pt>
                <c:pt idx="2">
                  <c:v>2010</c:v>
                </c:pt>
                <c:pt idx="3">
                  <c:v>2015</c:v>
                </c:pt>
              </c:numCache>
            </c:numRef>
          </c:cat>
          <c:val>
            <c:numRef>
              <c:f>Table!$I$7:$L$7</c:f>
              <c:numCache>
                <c:formatCode>0%</c:formatCode>
                <c:ptCount val="4"/>
                <c:pt idx="0">
                  <c:v>8.0437598132357346E-2</c:v>
                </c:pt>
                <c:pt idx="1">
                  <c:v>8.7523527830061842E-2</c:v>
                </c:pt>
                <c:pt idx="2">
                  <c:v>0.10892216584604739</c:v>
                </c:pt>
                <c:pt idx="3">
                  <c:v>0.12690681251372971</c:v>
                </c:pt>
              </c:numCache>
            </c:numRef>
          </c:val>
          <c:extLst>
            <c:ext xmlns:c16="http://schemas.microsoft.com/office/drawing/2014/chart" uri="{C3380CC4-5D6E-409C-BE32-E72D297353CC}">
              <c16:uniqueId val="{00000002-2E13-420F-8B6C-BA77F7F6FBE6}"/>
            </c:ext>
          </c:extLst>
        </c:ser>
        <c:dLbls>
          <c:showLegendKey val="0"/>
          <c:showVal val="0"/>
          <c:showCatName val="0"/>
          <c:showSerName val="0"/>
          <c:showPercent val="0"/>
          <c:showBubbleSize val="0"/>
        </c:dLbls>
        <c:gapWidth val="150"/>
        <c:shape val="box"/>
        <c:axId val="377348440"/>
        <c:axId val="377349424"/>
        <c:axId val="0"/>
      </c:bar3DChart>
      <c:catAx>
        <c:axId val="377348440"/>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77349424"/>
        <c:crosses val="autoZero"/>
        <c:auto val="1"/>
        <c:lblAlgn val="ctr"/>
        <c:lblOffset val="100"/>
        <c:noMultiLvlLbl val="0"/>
      </c:catAx>
      <c:valAx>
        <c:axId val="377349424"/>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7734844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Jiangsu!$B$22</c:f>
              <c:strCache>
                <c:ptCount val="1"/>
                <c:pt idx="0">
                  <c:v>2000</c:v>
                </c:pt>
              </c:strCache>
            </c:strRef>
          </c:tx>
          <c:invertIfNegative val="0"/>
          <c:cat>
            <c:strRef>
              <c:f>Jiangsu!$A$23:$A$32</c:f>
              <c:strCache>
                <c:ptCount val="10"/>
                <c:pt idx="0">
                  <c:v>Jiangsu</c:v>
                </c:pt>
                <c:pt idx="1">
                  <c:v>China</c:v>
                </c:pt>
                <c:pt idx="2">
                  <c:v>Brazil</c:v>
                </c:pt>
                <c:pt idx="3">
                  <c:v>India</c:v>
                </c:pt>
                <c:pt idx="4">
                  <c:v>Indonesia</c:v>
                </c:pt>
                <c:pt idx="5">
                  <c:v>Japan</c:v>
                </c:pt>
                <c:pt idx="6">
                  <c:v>Malaysia</c:v>
                </c:pt>
                <c:pt idx="7">
                  <c:v>Philippines</c:v>
                </c:pt>
                <c:pt idx="8">
                  <c:v>Singapore</c:v>
                </c:pt>
                <c:pt idx="9">
                  <c:v>United States</c:v>
                </c:pt>
              </c:strCache>
            </c:strRef>
          </c:cat>
          <c:val>
            <c:numRef>
              <c:f>Jiangsu!$B$23:$B$32</c:f>
              <c:numCache>
                <c:formatCode>0.0%</c:formatCode>
                <c:ptCount val="10"/>
                <c:pt idx="1">
                  <c:v>0.13483129569155908</c:v>
                </c:pt>
                <c:pt idx="2">
                  <c:v>0.1235572564832349</c:v>
                </c:pt>
                <c:pt idx="3">
                  <c:v>0.14314415989892301</c:v>
                </c:pt>
                <c:pt idx="4">
                  <c:v>0.13939605829221513</c:v>
                </c:pt>
                <c:pt idx="5">
                  <c:v>0.28919496915025394</c:v>
                </c:pt>
                <c:pt idx="6">
                  <c:v>0.12213512490252866</c:v>
                </c:pt>
                <c:pt idx="7">
                  <c:v>0.13184293619386792</c:v>
                </c:pt>
                <c:pt idx="8">
                  <c:v>0.14541880197434151</c:v>
                </c:pt>
                <c:pt idx="9">
                  <c:v>0.19282264392506487</c:v>
                </c:pt>
              </c:numCache>
            </c:numRef>
          </c:val>
          <c:extLst>
            <c:ext xmlns:c16="http://schemas.microsoft.com/office/drawing/2014/chart" uri="{C3380CC4-5D6E-409C-BE32-E72D297353CC}">
              <c16:uniqueId val="{00000000-A14D-46F9-BDF6-2217BFD42869}"/>
            </c:ext>
          </c:extLst>
        </c:ser>
        <c:ser>
          <c:idx val="1"/>
          <c:order val="1"/>
          <c:tx>
            <c:strRef>
              <c:f>Jiangsu!$E$22</c:f>
              <c:strCache>
                <c:ptCount val="1"/>
                <c:pt idx="0">
                  <c:v>2015</c:v>
                </c:pt>
              </c:strCache>
            </c:strRef>
          </c:tx>
          <c:invertIfNegative val="0"/>
          <c:cat>
            <c:strRef>
              <c:f>Jiangsu!$A$23:$A$32</c:f>
              <c:strCache>
                <c:ptCount val="10"/>
                <c:pt idx="0">
                  <c:v>Jiangsu</c:v>
                </c:pt>
                <c:pt idx="1">
                  <c:v>China</c:v>
                </c:pt>
                <c:pt idx="2">
                  <c:v>Brazil</c:v>
                </c:pt>
                <c:pt idx="3">
                  <c:v>India</c:v>
                </c:pt>
                <c:pt idx="4">
                  <c:v>Indonesia</c:v>
                </c:pt>
                <c:pt idx="5">
                  <c:v>Japan</c:v>
                </c:pt>
                <c:pt idx="6">
                  <c:v>Malaysia</c:v>
                </c:pt>
                <c:pt idx="7">
                  <c:v>Philippines</c:v>
                </c:pt>
                <c:pt idx="8">
                  <c:v>Singapore</c:v>
                </c:pt>
                <c:pt idx="9">
                  <c:v>United States</c:v>
                </c:pt>
              </c:strCache>
            </c:strRef>
          </c:cat>
          <c:val>
            <c:numRef>
              <c:f>Jiangsu!$E$23:$E$32</c:f>
              <c:numCache>
                <c:formatCode>0.0%</c:formatCode>
                <c:ptCount val="10"/>
                <c:pt idx="0">
                  <c:v>0.27301028695181373</c:v>
                </c:pt>
                <c:pt idx="1">
                  <c:v>0.21005618533190706</c:v>
                </c:pt>
                <c:pt idx="2">
                  <c:v>0.17874577866240365</c:v>
                </c:pt>
                <c:pt idx="3">
                  <c:v>0.18449999099602984</c:v>
                </c:pt>
                <c:pt idx="4">
                  <c:v>0.18970570638416354</c:v>
                </c:pt>
                <c:pt idx="5">
                  <c:v>0.2774637342673843</c:v>
                </c:pt>
                <c:pt idx="6">
                  <c:v>0.16062505087238382</c:v>
                </c:pt>
                <c:pt idx="7">
                  <c:v>0.17683049867498435</c:v>
                </c:pt>
                <c:pt idx="8">
                  <c:v>0.28320537289126413</c:v>
                </c:pt>
                <c:pt idx="9">
                  <c:v>0.27434416501949699</c:v>
                </c:pt>
              </c:numCache>
            </c:numRef>
          </c:val>
          <c:extLst>
            <c:ext xmlns:c16="http://schemas.microsoft.com/office/drawing/2014/chart" uri="{C3380CC4-5D6E-409C-BE32-E72D297353CC}">
              <c16:uniqueId val="{00000001-A14D-46F9-BDF6-2217BFD42869}"/>
            </c:ext>
          </c:extLst>
        </c:ser>
        <c:ser>
          <c:idx val="2"/>
          <c:order val="2"/>
          <c:tx>
            <c:strRef>
              <c:f>Jiangsu!$H$22</c:f>
              <c:strCache>
                <c:ptCount val="1"/>
                <c:pt idx="0">
                  <c:v>2030</c:v>
                </c:pt>
              </c:strCache>
            </c:strRef>
          </c:tx>
          <c:invertIfNegative val="0"/>
          <c:cat>
            <c:strRef>
              <c:f>Jiangsu!$A$23:$A$32</c:f>
              <c:strCache>
                <c:ptCount val="10"/>
                <c:pt idx="0">
                  <c:v>Jiangsu</c:v>
                </c:pt>
                <c:pt idx="1">
                  <c:v>China</c:v>
                </c:pt>
                <c:pt idx="2">
                  <c:v>Brazil</c:v>
                </c:pt>
                <c:pt idx="3">
                  <c:v>India</c:v>
                </c:pt>
                <c:pt idx="4">
                  <c:v>Indonesia</c:v>
                </c:pt>
                <c:pt idx="5">
                  <c:v>Japan</c:v>
                </c:pt>
                <c:pt idx="6">
                  <c:v>Malaysia</c:v>
                </c:pt>
                <c:pt idx="7">
                  <c:v>Philippines</c:v>
                </c:pt>
                <c:pt idx="8">
                  <c:v>Singapore</c:v>
                </c:pt>
                <c:pt idx="9">
                  <c:v>United States</c:v>
                </c:pt>
              </c:strCache>
            </c:strRef>
          </c:cat>
          <c:val>
            <c:numRef>
              <c:f>Jiangsu!$H$23:$H$32</c:f>
              <c:numCache>
                <c:formatCode>0.0%</c:formatCode>
                <c:ptCount val="10"/>
                <c:pt idx="0">
                  <c:v>0.35552286324418553</c:v>
                </c:pt>
                <c:pt idx="1">
                  <c:v>0.27354198731907803</c:v>
                </c:pt>
                <c:pt idx="2">
                  <c:v>0.21696380523023356</c:v>
                </c:pt>
                <c:pt idx="3">
                  <c:v>0.20486856234519435</c:v>
                </c:pt>
                <c:pt idx="4">
                  <c:v>0.23537216948105247</c:v>
                </c:pt>
                <c:pt idx="5">
                  <c:v>0.33009800357209051</c:v>
                </c:pt>
                <c:pt idx="6">
                  <c:v>0.18775278533859413</c:v>
                </c:pt>
                <c:pt idx="7">
                  <c:v>0.1949181198908925</c:v>
                </c:pt>
                <c:pt idx="8">
                  <c:v>0.30348025701787501</c:v>
                </c:pt>
                <c:pt idx="9">
                  <c:v>0.23939744764239945</c:v>
                </c:pt>
              </c:numCache>
            </c:numRef>
          </c:val>
          <c:extLst>
            <c:ext xmlns:c16="http://schemas.microsoft.com/office/drawing/2014/chart" uri="{C3380CC4-5D6E-409C-BE32-E72D297353CC}">
              <c16:uniqueId val="{00000002-A14D-46F9-BDF6-2217BFD42869}"/>
            </c:ext>
          </c:extLst>
        </c:ser>
        <c:dLbls>
          <c:showLegendKey val="0"/>
          <c:showVal val="0"/>
          <c:showCatName val="0"/>
          <c:showSerName val="0"/>
          <c:showPercent val="0"/>
          <c:showBubbleSize val="0"/>
        </c:dLbls>
        <c:gapWidth val="150"/>
        <c:axId val="38472704"/>
        <c:axId val="38474496"/>
      </c:barChart>
      <c:catAx>
        <c:axId val="38472704"/>
        <c:scaling>
          <c:orientation val="minMax"/>
        </c:scaling>
        <c:delete val="0"/>
        <c:axPos val="b"/>
        <c:numFmt formatCode="General" sourceLinked="0"/>
        <c:majorTickMark val="out"/>
        <c:minorTickMark val="none"/>
        <c:tickLblPos val="nextTo"/>
        <c:txPr>
          <a:bodyPr/>
          <a:lstStyle/>
          <a:p>
            <a:pPr>
              <a:defRPr sz="900"/>
            </a:pPr>
            <a:endParaRPr lang="en-US"/>
          </a:p>
        </c:txPr>
        <c:crossAx val="38474496"/>
        <c:crosses val="autoZero"/>
        <c:auto val="1"/>
        <c:lblAlgn val="ctr"/>
        <c:lblOffset val="100"/>
        <c:noMultiLvlLbl val="0"/>
      </c:catAx>
      <c:valAx>
        <c:axId val="38474496"/>
        <c:scaling>
          <c:orientation val="minMax"/>
        </c:scaling>
        <c:delete val="0"/>
        <c:axPos val="l"/>
        <c:majorGridlines/>
        <c:numFmt formatCode="0%" sourceLinked="0"/>
        <c:majorTickMark val="out"/>
        <c:minorTickMark val="none"/>
        <c:tickLblPos val="nextTo"/>
        <c:txPr>
          <a:bodyPr/>
          <a:lstStyle/>
          <a:p>
            <a:pPr>
              <a:defRPr sz="900"/>
            </a:pPr>
            <a:endParaRPr lang="en-US"/>
          </a:p>
        </c:txPr>
        <c:crossAx val="38472704"/>
        <c:crosses val="autoZero"/>
        <c:crossBetween val="between"/>
      </c:valAx>
    </c:plotArea>
    <c:legend>
      <c:legendPos val="r"/>
      <c:overlay val="0"/>
      <c:txPr>
        <a:bodyPr/>
        <a:lstStyle/>
        <a:p>
          <a:pPr>
            <a:defRPr sz="900"/>
          </a:pPr>
          <a:endParaRPr lang="en-US"/>
        </a:p>
      </c:txPr>
    </c:legend>
    <c:plotVisOnly val="1"/>
    <c:dispBlanksAs val="gap"/>
    <c:showDLblsOverMax val="0"/>
  </c:chart>
  <c:spPr>
    <a:ln>
      <a:noFill/>
    </a:ln>
  </c:sp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bar"/>
        <c:grouping val="clustered"/>
        <c:varyColors val="0"/>
        <c:ser>
          <c:idx val="0"/>
          <c:order val="0"/>
          <c:invertIfNegative val="0"/>
          <c:cat>
            <c:strRef>
              <c:f>Jiangsu!$A$23:$A$32</c:f>
              <c:strCache>
                <c:ptCount val="10"/>
                <c:pt idx="0">
                  <c:v>Jiangsu</c:v>
                </c:pt>
                <c:pt idx="1">
                  <c:v>China</c:v>
                </c:pt>
                <c:pt idx="2">
                  <c:v>Brazil</c:v>
                </c:pt>
                <c:pt idx="3">
                  <c:v>India</c:v>
                </c:pt>
                <c:pt idx="4">
                  <c:v>Indonesia</c:v>
                </c:pt>
                <c:pt idx="5">
                  <c:v>Japan</c:v>
                </c:pt>
                <c:pt idx="6">
                  <c:v>Malaysia</c:v>
                </c:pt>
                <c:pt idx="7">
                  <c:v>Philippines</c:v>
                </c:pt>
                <c:pt idx="8">
                  <c:v>Singapore</c:v>
                </c:pt>
                <c:pt idx="9">
                  <c:v>United States</c:v>
                </c:pt>
              </c:strCache>
            </c:strRef>
          </c:cat>
          <c:val>
            <c:numRef>
              <c:f>Jiangsu!$J$23:$J$32</c:f>
              <c:numCache>
                <c:formatCode>0.0%</c:formatCode>
                <c:ptCount val="10"/>
                <c:pt idx="0">
                  <c:v>8.2512576292371798E-2</c:v>
                </c:pt>
                <c:pt idx="1">
                  <c:v>6.3485801987170964E-2</c:v>
                </c:pt>
                <c:pt idx="2">
                  <c:v>3.821802656782991E-2</c:v>
                </c:pt>
                <c:pt idx="3">
                  <c:v>2.0368571349164505E-2</c:v>
                </c:pt>
                <c:pt idx="4">
                  <c:v>4.5666463096888932E-2</c:v>
                </c:pt>
                <c:pt idx="5">
                  <c:v>5.2634269304706216E-2</c:v>
                </c:pt>
                <c:pt idx="6">
                  <c:v>2.7127734466210307E-2</c:v>
                </c:pt>
                <c:pt idx="7">
                  <c:v>1.8087621215908151E-2</c:v>
                </c:pt>
                <c:pt idx="8">
                  <c:v>2.0274884126610881E-2</c:v>
                </c:pt>
                <c:pt idx="9">
                  <c:v>-3.4946717377097536E-2</c:v>
                </c:pt>
              </c:numCache>
            </c:numRef>
          </c:val>
          <c:extLst>
            <c:ext xmlns:c16="http://schemas.microsoft.com/office/drawing/2014/chart" uri="{C3380CC4-5D6E-409C-BE32-E72D297353CC}">
              <c16:uniqueId val="{00000000-AA7C-469A-97B4-FA1EC988B1AA}"/>
            </c:ext>
          </c:extLst>
        </c:ser>
        <c:dLbls>
          <c:showLegendKey val="0"/>
          <c:showVal val="0"/>
          <c:showCatName val="0"/>
          <c:showSerName val="0"/>
          <c:showPercent val="0"/>
          <c:showBubbleSize val="0"/>
        </c:dLbls>
        <c:gapWidth val="150"/>
        <c:axId val="38421248"/>
        <c:axId val="38422784"/>
      </c:barChart>
      <c:catAx>
        <c:axId val="38421248"/>
        <c:scaling>
          <c:orientation val="minMax"/>
        </c:scaling>
        <c:delete val="0"/>
        <c:axPos val="l"/>
        <c:numFmt formatCode="General" sourceLinked="0"/>
        <c:majorTickMark val="out"/>
        <c:minorTickMark val="none"/>
        <c:tickLblPos val="nextTo"/>
        <c:txPr>
          <a:bodyPr/>
          <a:lstStyle/>
          <a:p>
            <a:pPr>
              <a:defRPr sz="900"/>
            </a:pPr>
            <a:endParaRPr lang="en-US"/>
          </a:p>
        </c:txPr>
        <c:crossAx val="38422784"/>
        <c:crosses val="autoZero"/>
        <c:auto val="1"/>
        <c:lblAlgn val="ctr"/>
        <c:lblOffset val="100"/>
        <c:noMultiLvlLbl val="0"/>
      </c:catAx>
      <c:valAx>
        <c:axId val="38422784"/>
        <c:scaling>
          <c:orientation val="minMax"/>
        </c:scaling>
        <c:delete val="0"/>
        <c:axPos val="b"/>
        <c:majorGridlines/>
        <c:numFmt formatCode="0%" sourceLinked="0"/>
        <c:majorTickMark val="out"/>
        <c:minorTickMark val="none"/>
        <c:tickLblPos val="nextTo"/>
        <c:txPr>
          <a:bodyPr/>
          <a:lstStyle/>
          <a:p>
            <a:pPr>
              <a:defRPr sz="900"/>
            </a:pPr>
            <a:endParaRPr lang="en-US"/>
          </a:p>
        </c:txPr>
        <c:crossAx val="38421248"/>
        <c:crosses val="autoZero"/>
        <c:crossBetween val="between"/>
      </c:valAx>
    </c:plotArea>
    <c:plotVisOnly val="1"/>
    <c:dispBlanksAs val="gap"/>
    <c:showDLblsOverMax val="0"/>
  </c:chart>
  <c:spPr>
    <a:ln>
      <a:noFill/>
    </a:ln>
  </c:sp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stacked"/>
        <c:varyColors val="0"/>
        <c:ser>
          <c:idx val="0"/>
          <c:order val="0"/>
          <c:tx>
            <c:strRef>
              <c:f>Jiangsu!$C$62</c:f>
              <c:strCache>
                <c:ptCount val="1"/>
                <c:pt idx="0">
                  <c:v>NCD</c:v>
                </c:pt>
              </c:strCache>
            </c:strRef>
          </c:tx>
          <c:invertIfNegative val="0"/>
          <c:cat>
            <c:strRef>
              <c:f>Jiangsu!$B$63:$B$72</c:f>
              <c:strCache>
                <c:ptCount val="10"/>
                <c:pt idx="0">
                  <c:v>Jiangsu</c:v>
                </c:pt>
                <c:pt idx="1">
                  <c:v>China</c:v>
                </c:pt>
                <c:pt idx="2">
                  <c:v>Brazil</c:v>
                </c:pt>
                <c:pt idx="3">
                  <c:v>India</c:v>
                </c:pt>
                <c:pt idx="4">
                  <c:v>Indonesia</c:v>
                </c:pt>
                <c:pt idx="5">
                  <c:v>Japan</c:v>
                </c:pt>
                <c:pt idx="6">
                  <c:v>Malaysia</c:v>
                </c:pt>
                <c:pt idx="7">
                  <c:v>Philippines</c:v>
                </c:pt>
                <c:pt idx="8">
                  <c:v>Singapore</c:v>
                </c:pt>
                <c:pt idx="9">
                  <c:v>United States</c:v>
                </c:pt>
              </c:strCache>
            </c:strRef>
          </c:cat>
          <c:val>
            <c:numRef>
              <c:f>Jiangsu!$C$63:$C$72</c:f>
              <c:numCache>
                <c:formatCode>_-* #,##0_-;\-* #,##0_-;_-* "-"??_-;_-@_-</c:formatCode>
                <c:ptCount val="10"/>
                <c:pt idx="0">
                  <c:v>115</c:v>
                </c:pt>
                <c:pt idx="1">
                  <c:v>131.67239067685699</c:v>
                </c:pt>
                <c:pt idx="2">
                  <c:v>159.01412248279632</c:v>
                </c:pt>
                <c:pt idx="3">
                  <c:v>144.82335088596113</c:v>
                </c:pt>
                <c:pt idx="4">
                  <c:v>121.16824187681264</c:v>
                </c:pt>
                <c:pt idx="5">
                  <c:v>122.2004208318222</c:v>
                </c:pt>
                <c:pt idx="6">
                  <c:v>125.05992611222122</c:v>
                </c:pt>
                <c:pt idx="7">
                  <c:v>137.3595517404419</c:v>
                </c:pt>
                <c:pt idx="8">
                  <c:v>122.72555392768403</c:v>
                </c:pt>
                <c:pt idx="9">
                  <c:v>161.00174472372279</c:v>
                </c:pt>
              </c:numCache>
            </c:numRef>
          </c:val>
          <c:extLst>
            <c:ext xmlns:c16="http://schemas.microsoft.com/office/drawing/2014/chart" uri="{C3380CC4-5D6E-409C-BE32-E72D297353CC}">
              <c16:uniqueId val="{00000000-CABD-471A-850B-E876647AD02F}"/>
            </c:ext>
          </c:extLst>
        </c:ser>
        <c:ser>
          <c:idx val="1"/>
          <c:order val="1"/>
          <c:tx>
            <c:strRef>
              <c:f>Jiangsu!$D$62</c:f>
              <c:strCache>
                <c:ptCount val="1"/>
                <c:pt idx="0">
                  <c:v>Communicable</c:v>
                </c:pt>
              </c:strCache>
            </c:strRef>
          </c:tx>
          <c:invertIfNegative val="0"/>
          <c:cat>
            <c:strRef>
              <c:f>Jiangsu!$B$63:$B$72</c:f>
              <c:strCache>
                <c:ptCount val="10"/>
                <c:pt idx="0">
                  <c:v>Jiangsu</c:v>
                </c:pt>
                <c:pt idx="1">
                  <c:v>China</c:v>
                </c:pt>
                <c:pt idx="2">
                  <c:v>Brazil</c:v>
                </c:pt>
                <c:pt idx="3">
                  <c:v>India</c:v>
                </c:pt>
                <c:pt idx="4">
                  <c:v>Indonesia</c:v>
                </c:pt>
                <c:pt idx="5">
                  <c:v>Japan</c:v>
                </c:pt>
                <c:pt idx="6">
                  <c:v>Malaysia</c:v>
                </c:pt>
                <c:pt idx="7">
                  <c:v>Philippines</c:v>
                </c:pt>
                <c:pt idx="8">
                  <c:v>Singapore</c:v>
                </c:pt>
                <c:pt idx="9">
                  <c:v>United States</c:v>
                </c:pt>
              </c:strCache>
            </c:strRef>
          </c:cat>
          <c:val>
            <c:numRef>
              <c:f>Jiangsu!$D$63:$D$72</c:f>
              <c:numCache>
                <c:formatCode>_-* #,##0_-;\-* #,##0_-;_-* "-"??_-;_-@_-</c:formatCode>
                <c:ptCount val="10"/>
                <c:pt idx="0">
                  <c:v>6</c:v>
                </c:pt>
                <c:pt idx="1">
                  <c:v>8.741798085821225</c:v>
                </c:pt>
                <c:pt idx="2">
                  <c:v>4.2558634299830693</c:v>
                </c:pt>
                <c:pt idx="3">
                  <c:v>13.051198585870889</c:v>
                </c:pt>
                <c:pt idx="4">
                  <c:v>10.744005467644913</c:v>
                </c:pt>
                <c:pt idx="5">
                  <c:v>4.5322945796427589</c:v>
                </c:pt>
                <c:pt idx="6">
                  <c:v>10.801293356076563</c:v>
                </c:pt>
                <c:pt idx="7">
                  <c:v>13.763669202390522</c:v>
                </c:pt>
                <c:pt idx="8">
                  <c:v>4.7602285514375016</c:v>
                </c:pt>
                <c:pt idx="9">
                  <c:v>4.3749435707609994</c:v>
                </c:pt>
              </c:numCache>
            </c:numRef>
          </c:val>
          <c:extLst>
            <c:ext xmlns:c16="http://schemas.microsoft.com/office/drawing/2014/chart" uri="{C3380CC4-5D6E-409C-BE32-E72D297353CC}">
              <c16:uniqueId val="{00000001-CABD-471A-850B-E876647AD02F}"/>
            </c:ext>
          </c:extLst>
        </c:ser>
        <c:ser>
          <c:idx val="2"/>
          <c:order val="2"/>
          <c:tx>
            <c:strRef>
              <c:f>Jiangsu!$E$62</c:f>
              <c:strCache>
                <c:ptCount val="1"/>
                <c:pt idx="0">
                  <c:v>Injuries</c:v>
                </c:pt>
              </c:strCache>
            </c:strRef>
          </c:tx>
          <c:invertIfNegative val="0"/>
          <c:cat>
            <c:strRef>
              <c:f>Jiangsu!$B$63:$B$72</c:f>
              <c:strCache>
                <c:ptCount val="10"/>
                <c:pt idx="0">
                  <c:v>Jiangsu</c:v>
                </c:pt>
                <c:pt idx="1">
                  <c:v>China</c:v>
                </c:pt>
                <c:pt idx="2">
                  <c:v>Brazil</c:v>
                </c:pt>
                <c:pt idx="3">
                  <c:v>India</c:v>
                </c:pt>
                <c:pt idx="4">
                  <c:v>Indonesia</c:v>
                </c:pt>
                <c:pt idx="5">
                  <c:v>Japan</c:v>
                </c:pt>
                <c:pt idx="6">
                  <c:v>Malaysia</c:v>
                </c:pt>
                <c:pt idx="7">
                  <c:v>Philippines</c:v>
                </c:pt>
                <c:pt idx="8">
                  <c:v>Singapore</c:v>
                </c:pt>
                <c:pt idx="9">
                  <c:v>United States</c:v>
                </c:pt>
              </c:strCache>
            </c:strRef>
          </c:cat>
          <c:val>
            <c:numRef>
              <c:f>Jiangsu!$E$63:$E$72</c:f>
              <c:numCache>
                <c:formatCode>_-* #,##0_-;\-* #,##0_-;_-* "-"??_-;_-@_-</c:formatCode>
                <c:ptCount val="10"/>
                <c:pt idx="0">
                  <c:v>6</c:v>
                </c:pt>
                <c:pt idx="1">
                  <c:v>4.9730059530089754</c:v>
                </c:pt>
                <c:pt idx="2">
                  <c:v>7.0634758994326372</c:v>
                </c:pt>
                <c:pt idx="3">
                  <c:v>12.662679842337525</c:v>
                </c:pt>
                <c:pt idx="4">
                  <c:v>6.9911954676873549</c:v>
                </c:pt>
                <c:pt idx="5">
                  <c:v>7.0428607212565018</c:v>
                </c:pt>
                <c:pt idx="6">
                  <c:v>6.7652902143133451</c:v>
                </c:pt>
                <c:pt idx="7">
                  <c:v>12.387650984943571</c:v>
                </c:pt>
                <c:pt idx="8">
                  <c:v>6.4847210386798713</c:v>
                </c:pt>
                <c:pt idx="9">
                  <c:v>10.928706200586412</c:v>
                </c:pt>
              </c:numCache>
            </c:numRef>
          </c:val>
          <c:extLst>
            <c:ext xmlns:c16="http://schemas.microsoft.com/office/drawing/2014/chart" uri="{C3380CC4-5D6E-409C-BE32-E72D297353CC}">
              <c16:uniqueId val="{00000002-CABD-471A-850B-E876647AD02F}"/>
            </c:ext>
          </c:extLst>
        </c:ser>
        <c:dLbls>
          <c:showLegendKey val="0"/>
          <c:showVal val="0"/>
          <c:showCatName val="0"/>
          <c:showSerName val="0"/>
          <c:showPercent val="0"/>
          <c:showBubbleSize val="0"/>
        </c:dLbls>
        <c:gapWidth val="150"/>
        <c:overlap val="100"/>
        <c:axId val="38508416"/>
        <c:axId val="38509952"/>
      </c:barChart>
      <c:catAx>
        <c:axId val="38508416"/>
        <c:scaling>
          <c:orientation val="minMax"/>
        </c:scaling>
        <c:delete val="0"/>
        <c:axPos val="b"/>
        <c:numFmt formatCode="General" sourceLinked="0"/>
        <c:majorTickMark val="out"/>
        <c:minorTickMark val="none"/>
        <c:tickLblPos val="nextTo"/>
        <c:txPr>
          <a:bodyPr/>
          <a:lstStyle/>
          <a:p>
            <a:pPr>
              <a:defRPr sz="900"/>
            </a:pPr>
            <a:endParaRPr lang="en-US"/>
          </a:p>
        </c:txPr>
        <c:crossAx val="38509952"/>
        <c:crosses val="autoZero"/>
        <c:auto val="1"/>
        <c:lblAlgn val="ctr"/>
        <c:lblOffset val="100"/>
        <c:noMultiLvlLbl val="0"/>
      </c:catAx>
      <c:valAx>
        <c:axId val="38509952"/>
        <c:scaling>
          <c:orientation val="minMax"/>
        </c:scaling>
        <c:delete val="0"/>
        <c:axPos val="l"/>
        <c:majorGridlines/>
        <c:numFmt formatCode="_-* #,##0_-;\-* #,##0_-;_-* &quot;-&quot;??_-;_-@_-" sourceLinked="1"/>
        <c:majorTickMark val="out"/>
        <c:minorTickMark val="none"/>
        <c:tickLblPos val="nextTo"/>
        <c:txPr>
          <a:bodyPr/>
          <a:lstStyle/>
          <a:p>
            <a:pPr>
              <a:defRPr sz="900"/>
            </a:pPr>
            <a:endParaRPr lang="en-US"/>
          </a:p>
        </c:txPr>
        <c:crossAx val="38508416"/>
        <c:crosses val="autoZero"/>
        <c:crossBetween val="between"/>
      </c:valAx>
    </c:plotArea>
    <c:legend>
      <c:legendPos val="r"/>
      <c:layout>
        <c:manualLayout>
          <c:xMode val="edge"/>
          <c:yMode val="edge"/>
          <c:x val="0.76688954505686791"/>
          <c:y val="0.38257831407437709"/>
          <c:w val="0.21644378827646543"/>
          <c:h val="0.2824620786038109"/>
        </c:manualLayout>
      </c:layout>
      <c:overlay val="0"/>
      <c:txPr>
        <a:bodyPr/>
        <a:lstStyle/>
        <a:p>
          <a:pPr>
            <a:defRPr sz="900"/>
          </a:pPr>
          <a:endParaRPr lang="en-US"/>
        </a:p>
      </c:txPr>
    </c:legend>
    <c:plotVisOnly val="1"/>
    <c:dispBlanksAs val="gap"/>
    <c:showDLblsOverMax val="0"/>
  </c:chart>
  <c:spPr>
    <a:ln>
      <a:noFill/>
    </a:ln>
  </c:sp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DALYs!$B$41</c:f>
              <c:strCache>
                <c:ptCount val="1"/>
                <c:pt idx="0">
                  <c:v>Males</c:v>
                </c:pt>
              </c:strCache>
            </c:strRef>
          </c:tx>
          <c:spPr>
            <a:ln w="28575" cap="rnd">
              <a:solidFill>
                <a:schemeClr val="accent1"/>
              </a:solidFill>
              <a:round/>
            </a:ln>
            <a:effectLst/>
          </c:spPr>
          <c:marker>
            <c:symbol val="none"/>
          </c:marker>
          <c:cat>
            <c:strRef>
              <c:f>DALYs!$A$42:$A$58</c:f>
              <c:strCache>
                <c:ptCount val="17"/>
                <c:pt idx="0">
                  <c:v>1-4</c:v>
                </c:pt>
                <c:pt idx="1">
                  <c:v>5-9</c:v>
                </c:pt>
                <c:pt idx="2">
                  <c:v>10-14</c:v>
                </c:pt>
                <c:pt idx="3">
                  <c:v>15-19</c:v>
                </c:pt>
                <c:pt idx="4">
                  <c:v>20-24</c:v>
                </c:pt>
                <c:pt idx="5">
                  <c:v>25-29</c:v>
                </c:pt>
                <c:pt idx="6">
                  <c:v>30-34</c:v>
                </c:pt>
                <c:pt idx="7">
                  <c:v>35-39</c:v>
                </c:pt>
                <c:pt idx="8">
                  <c:v>40-44</c:v>
                </c:pt>
                <c:pt idx="9">
                  <c:v>45-49</c:v>
                </c:pt>
                <c:pt idx="10">
                  <c:v>50-54</c:v>
                </c:pt>
                <c:pt idx="11">
                  <c:v>55-59</c:v>
                </c:pt>
                <c:pt idx="12">
                  <c:v>60-64</c:v>
                </c:pt>
                <c:pt idx="13">
                  <c:v>65-69</c:v>
                </c:pt>
                <c:pt idx="14">
                  <c:v>70-74</c:v>
                </c:pt>
                <c:pt idx="15">
                  <c:v>75-79</c:v>
                </c:pt>
                <c:pt idx="16">
                  <c:v>80+</c:v>
                </c:pt>
              </c:strCache>
            </c:strRef>
          </c:cat>
          <c:val>
            <c:numRef>
              <c:f>DALYs!$B$42:$B$58</c:f>
              <c:numCache>
                <c:formatCode>_-* #,##0_-;\-* #,##0_-;_-* "-"??_-;_-@_-</c:formatCode>
                <c:ptCount val="17"/>
                <c:pt idx="0">
                  <c:v>5904.66</c:v>
                </c:pt>
                <c:pt idx="1">
                  <c:v>5128.7</c:v>
                </c:pt>
                <c:pt idx="2">
                  <c:v>6159.3</c:v>
                </c:pt>
                <c:pt idx="3">
                  <c:v>8705.2999999999993</c:v>
                </c:pt>
                <c:pt idx="4">
                  <c:v>11189.2</c:v>
                </c:pt>
                <c:pt idx="5">
                  <c:v>11794</c:v>
                </c:pt>
                <c:pt idx="6">
                  <c:v>12888.2</c:v>
                </c:pt>
                <c:pt idx="7">
                  <c:v>14759.3</c:v>
                </c:pt>
                <c:pt idx="8">
                  <c:v>17807.2</c:v>
                </c:pt>
                <c:pt idx="9">
                  <c:v>22080.7</c:v>
                </c:pt>
                <c:pt idx="10">
                  <c:v>28407.200000000001</c:v>
                </c:pt>
                <c:pt idx="11">
                  <c:v>36521.800000000003</c:v>
                </c:pt>
                <c:pt idx="12">
                  <c:v>47747.8</c:v>
                </c:pt>
                <c:pt idx="13">
                  <c:v>61073.599999999999</c:v>
                </c:pt>
                <c:pt idx="14">
                  <c:v>78167.7</c:v>
                </c:pt>
                <c:pt idx="15">
                  <c:v>97167.7</c:v>
                </c:pt>
                <c:pt idx="16">
                  <c:v>122209</c:v>
                </c:pt>
              </c:numCache>
            </c:numRef>
          </c:val>
          <c:smooth val="0"/>
          <c:extLst>
            <c:ext xmlns:c16="http://schemas.microsoft.com/office/drawing/2014/chart" uri="{C3380CC4-5D6E-409C-BE32-E72D297353CC}">
              <c16:uniqueId val="{00000000-51DF-4924-9A37-F2F4026310BB}"/>
            </c:ext>
          </c:extLst>
        </c:ser>
        <c:ser>
          <c:idx val="1"/>
          <c:order val="1"/>
          <c:tx>
            <c:strRef>
              <c:f>DALYs!$C$41</c:f>
              <c:strCache>
                <c:ptCount val="1"/>
                <c:pt idx="0">
                  <c:v>Females</c:v>
                </c:pt>
              </c:strCache>
            </c:strRef>
          </c:tx>
          <c:spPr>
            <a:ln w="28575" cap="rnd">
              <a:solidFill>
                <a:schemeClr val="accent2"/>
              </a:solidFill>
              <a:round/>
            </a:ln>
            <a:effectLst/>
          </c:spPr>
          <c:marker>
            <c:symbol val="none"/>
          </c:marker>
          <c:cat>
            <c:strRef>
              <c:f>DALYs!$A$42:$A$58</c:f>
              <c:strCache>
                <c:ptCount val="17"/>
                <c:pt idx="0">
                  <c:v>1-4</c:v>
                </c:pt>
                <c:pt idx="1">
                  <c:v>5-9</c:v>
                </c:pt>
                <c:pt idx="2">
                  <c:v>10-14</c:v>
                </c:pt>
                <c:pt idx="3">
                  <c:v>15-19</c:v>
                </c:pt>
                <c:pt idx="4">
                  <c:v>20-24</c:v>
                </c:pt>
                <c:pt idx="5">
                  <c:v>25-29</c:v>
                </c:pt>
                <c:pt idx="6">
                  <c:v>30-34</c:v>
                </c:pt>
                <c:pt idx="7">
                  <c:v>35-39</c:v>
                </c:pt>
                <c:pt idx="8">
                  <c:v>40-44</c:v>
                </c:pt>
                <c:pt idx="9">
                  <c:v>45-49</c:v>
                </c:pt>
                <c:pt idx="10">
                  <c:v>50-54</c:v>
                </c:pt>
                <c:pt idx="11">
                  <c:v>55-59</c:v>
                </c:pt>
                <c:pt idx="12">
                  <c:v>60-64</c:v>
                </c:pt>
                <c:pt idx="13">
                  <c:v>65-69</c:v>
                </c:pt>
                <c:pt idx="14">
                  <c:v>70-74</c:v>
                </c:pt>
                <c:pt idx="15">
                  <c:v>75-79</c:v>
                </c:pt>
                <c:pt idx="16">
                  <c:v>80+</c:v>
                </c:pt>
              </c:strCache>
            </c:strRef>
          </c:cat>
          <c:val>
            <c:numRef>
              <c:f>DALYs!$C$42:$C$58</c:f>
              <c:numCache>
                <c:formatCode>_-* #,##0_-;\-* #,##0_-;_-* "-"??_-;_-@_-</c:formatCode>
                <c:ptCount val="17"/>
                <c:pt idx="0">
                  <c:v>5051.46</c:v>
                </c:pt>
                <c:pt idx="1">
                  <c:v>4597.8</c:v>
                </c:pt>
                <c:pt idx="2">
                  <c:v>5585.5</c:v>
                </c:pt>
                <c:pt idx="3">
                  <c:v>6772.6</c:v>
                </c:pt>
                <c:pt idx="4">
                  <c:v>8544.6</c:v>
                </c:pt>
                <c:pt idx="5">
                  <c:v>9747.2000000000007</c:v>
                </c:pt>
                <c:pt idx="6">
                  <c:v>11423</c:v>
                </c:pt>
                <c:pt idx="7">
                  <c:v>13155.1</c:v>
                </c:pt>
                <c:pt idx="8">
                  <c:v>15511.2</c:v>
                </c:pt>
                <c:pt idx="9">
                  <c:v>18280.7</c:v>
                </c:pt>
                <c:pt idx="10">
                  <c:v>21782.7</c:v>
                </c:pt>
                <c:pt idx="11">
                  <c:v>26038.400000000001</c:v>
                </c:pt>
                <c:pt idx="12">
                  <c:v>32010.7</c:v>
                </c:pt>
                <c:pt idx="13">
                  <c:v>39110.300000000003</c:v>
                </c:pt>
                <c:pt idx="14">
                  <c:v>50074.5</c:v>
                </c:pt>
                <c:pt idx="15">
                  <c:v>63828.800000000003</c:v>
                </c:pt>
                <c:pt idx="16">
                  <c:v>90727.3</c:v>
                </c:pt>
              </c:numCache>
            </c:numRef>
          </c:val>
          <c:smooth val="0"/>
          <c:extLst>
            <c:ext xmlns:c16="http://schemas.microsoft.com/office/drawing/2014/chart" uri="{C3380CC4-5D6E-409C-BE32-E72D297353CC}">
              <c16:uniqueId val="{00000001-51DF-4924-9A37-F2F4026310BB}"/>
            </c:ext>
          </c:extLst>
        </c:ser>
        <c:dLbls>
          <c:showLegendKey val="0"/>
          <c:showVal val="0"/>
          <c:showCatName val="0"/>
          <c:showSerName val="0"/>
          <c:showPercent val="0"/>
          <c:showBubbleSize val="0"/>
        </c:dLbls>
        <c:smooth val="0"/>
        <c:axId val="621003216"/>
        <c:axId val="621005184"/>
      </c:lineChart>
      <c:catAx>
        <c:axId val="6210032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21005184"/>
        <c:crosses val="autoZero"/>
        <c:auto val="1"/>
        <c:lblAlgn val="ctr"/>
        <c:lblOffset val="100"/>
        <c:noMultiLvlLbl val="0"/>
      </c:catAx>
      <c:valAx>
        <c:axId val="621005184"/>
        <c:scaling>
          <c:orientation val="minMax"/>
        </c:scaling>
        <c:delete val="0"/>
        <c:axPos val="l"/>
        <c:majorGridlines>
          <c:spPr>
            <a:ln w="9525" cap="flat" cmpd="sng" algn="ctr">
              <a:solidFill>
                <a:schemeClr val="tx1">
                  <a:lumMod val="15000"/>
                  <a:lumOff val="85000"/>
                </a:schemeClr>
              </a:solidFill>
              <a:round/>
            </a:ln>
            <a:effectLst/>
          </c:spPr>
        </c:majorGridlines>
        <c:numFmt formatCode="_-* #,##0_-;\-* #,##0_-;_-* &quot;-&quot;??_-;_-@_-"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2100321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Jiangsu!$B$132</c:f>
              <c:strCache>
                <c:ptCount val="1"/>
                <c:pt idx="0">
                  <c:v>2015</c:v>
                </c:pt>
              </c:strCache>
            </c:strRef>
          </c:tx>
          <c:invertIfNegative val="0"/>
          <c:cat>
            <c:strRef>
              <c:f>Jiangsu!$A$133:$A$142</c:f>
              <c:strCache>
                <c:ptCount val="10"/>
                <c:pt idx="0">
                  <c:v>Jiangsu</c:v>
                </c:pt>
                <c:pt idx="1">
                  <c:v>China</c:v>
                </c:pt>
                <c:pt idx="2">
                  <c:v>Brazil</c:v>
                </c:pt>
                <c:pt idx="3">
                  <c:v>India</c:v>
                </c:pt>
                <c:pt idx="4">
                  <c:v>Indonesia</c:v>
                </c:pt>
                <c:pt idx="5">
                  <c:v>Japan</c:v>
                </c:pt>
                <c:pt idx="6">
                  <c:v>Malaysia</c:v>
                </c:pt>
                <c:pt idx="7">
                  <c:v>Philippines</c:v>
                </c:pt>
                <c:pt idx="8">
                  <c:v>Singapore</c:v>
                </c:pt>
                <c:pt idx="9">
                  <c:v>United States</c:v>
                </c:pt>
              </c:strCache>
            </c:strRef>
          </c:cat>
          <c:val>
            <c:numRef>
              <c:f>Jiangsu!$B$133:$B$142</c:f>
              <c:numCache>
                <c:formatCode>0.0%</c:formatCode>
                <c:ptCount val="10"/>
                <c:pt idx="0">
                  <c:v>2.3836428241503126E-2</c:v>
                </c:pt>
                <c:pt idx="1">
                  <c:v>2.1495286519418708E-2</c:v>
                </c:pt>
                <c:pt idx="2">
                  <c:v>2.1384423633230443E-2</c:v>
                </c:pt>
                <c:pt idx="3">
                  <c:v>2.2045265479461392E-2</c:v>
                </c:pt>
                <c:pt idx="4">
                  <c:v>1.9137671798700955E-2</c:v>
                </c:pt>
                <c:pt idx="5">
                  <c:v>2.9100061050344257E-2</c:v>
                </c:pt>
                <c:pt idx="6">
                  <c:v>1.7174973140034199E-2</c:v>
                </c:pt>
                <c:pt idx="7">
                  <c:v>2.0649877569146349E-2</c:v>
                </c:pt>
                <c:pt idx="8">
                  <c:v>1.9332275951915091E-2</c:v>
                </c:pt>
                <c:pt idx="9">
                  <c:v>3.4789750256398626E-2</c:v>
                </c:pt>
              </c:numCache>
            </c:numRef>
          </c:val>
          <c:extLst>
            <c:ext xmlns:c16="http://schemas.microsoft.com/office/drawing/2014/chart" uri="{C3380CC4-5D6E-409C-BE32-E72D297353CC}">
              <c16:uniqueId val="{00000000-5D0A-4044-B9FF-7112DFE332BF}"/>
            </c:ext>
          </c:extLst>
        </c:ser>
        <c:ser>
          <c:idx val="1"/>
          <c:order val="1"/>
          <c:tx>
            <c:strRef>
              <c:f>Jiangsu!$C$132</c:f>
              <c:strCache>
                <c:ptCount val="1"/>
                <c:pt idx="0">
                  <c:v>2020</c:v>
                </c:pt>
              </c:strCache>
            </c:strRef>
          </c:tx>
          <c:invertIfNegative val="0"/>
          <c:cat>
            <c:strRef>
              <c:f>Jiangsu!$A$133:$A$142</c:f>
              <c:strCache>
                <c:ptCount val="10"/>
                <c:pt idx="0">
                  <c:v>Jiangsu</c:v>
                </c:pt>
                <c:pt idx="1">
                  <c:v>China</c:v>
                </c:pt>
                <c:pt idx="2">
                  <c:v>Brazil</c:v>
                </c:pt>
                <c:pt idx="3">
                  <c:v>India</c:v>
                </c:pt>
                <c:pt idx="4">
                  <c:v>Indonesia</c:v>
                </c:pt>
                <c:pt idx="5">
                  <c:v>Japan</c:v>
                </c:pt>
                <c:pt idx="6">
                  <c:v>Malaysia</c:v>
                </c:pt>
                <c:pt idx="7">
                  <c:v>Philippines</c:v>
                </c:pt>
                <c:pt idx="8">
                  <c:v>Singapore</c:v>
                </c:pt>
                <c:pt idx="9">
                  <c:v>United States</c:v>
                </c:pt>
              </c:strCache>
            </c:strRef>
          </c:cat>
          <c:val>
            <c:numRef>
              <c:f>Jiangsu!$C$133:$C$142</c:f>
              <c:numCache>
                <c:formatCode>0.0%</c:formatCode>
                <c:ptCount val="10"/>
                <c:pt idx="0">
                  <c:v>2.8251295715052884E-2</c:v>
                </c:pt>
                <c:pt idx="1">
                  <c:v>2.5476539093324892E-2</c:v>
                </c:pt>
                <c:pt idx="2">
                  <c:v>2.2881762471734901E-2</c:v>
                </c:pt>
                <c:pt idx="3">
                  <c:v>2.293386280067989E-2</c:v>
                </c:pt>
                <c:pt idx="4">
                  <c:v>2.1181040932443263E-2</c:v>
                </c:pt>
                <c:pt idx="5">
                  <c:v>3.0228337166889521E-2</c:v>
                </c:pt>
                <c:pt idx="6">
                  <c:v>1.8084149687785645E-2</c:v>
                </c:pt>
                <c:pt idx="7">
                  <c:v>2.1702278637441327E-2</c:v>
                </c:pt>
                <c:pt idx="8">
                  <c:v>1.9317271693186918E-2</c:v>
                </c:pt>
                <c:pt idx="9">
                  <c:v>3.4019465954965251E-2</c:v>
                </c:pt>
              </c:numCache>
            </c:numRef>
          </c:val>
          <c:extLst>
            <c:ext xmlns:c16="http://schemas.microsoft.com/office/drawing/2014/chart" uri="{C3380CC4-5D6E-409C-BE32-E72D297353CC}">
              <c16:uniqueId val="{00000001-5D0A-4044-B9FF-7112DFE332BF}"/>
            </c:ext>
          </c:extLst>
        </c:ser>
        <c:ser>
          <c:idx val="2"/>
          <c:order val="2"/>
          <c:tx>
            <c:strRef>
              <c:f>Jiangsu!$D$132</c:f>
              <c:strCache>
                <c:ptCount val="1"/>
                <c:pt idx="0">
                  <c:v>2025</c:v>
                </c:pt>
              </c:strCache>
            </c:strRef>
          </c:tx>
          <c:invertIfNegative val="0"/>
          <c:cat>
            <c:strRef>
              <c:f>Jiangsu!$A$133:$A$142</c:f>
              <c:strCache>
                <c:ptCount val="10"/>
                <c:pt idx="0">
                  <c:v>Jiangsu</c:v>
                </c:pt>
                <c:pt idx="1">
                  <c:v>China</c:v>
                </c:pt>
                <c:pt idx="2">
                  <c:v>Brazil</c:v>
                </c:pt>
                <c:pt idx="3">
                  <c:v>India</c:v>
                </c:pt>
                <c:pt idx="4">
                  <c:v>Indonesia</c:v>
                </c:pt>
                <c:pt idx="5">
                  <c:v>Japan</c:v>
                </c:pt>
                <c:pt idx="6">
                  <c:v>Malaysia</c:v>
                </c:pt>
                <c:pt idx="7">
                  <c:v>Philippines</c:v>
                </c:pt>
                <c:pt idx="8">
                  <c:v>Singapore</c:v>
                </c:pt>
                <c:pt idx="9">
                  <c:v>United States</c:v>
                </c:pt>
              </c:strCache>
            </c:strRef>
          </c:cat>
          <c:val>
            <c:numRef>
              <c:f>Jiangsu!$D$133:$D$142</c:f>
              <c:numCache>
                <c:formatCode>0.0%</c:formatCode>
                <c:ptCount val="10"/>
                <c:pt idx="0">
                  <c:v>3.182213408639218E-2</c:v>
                </c:pt>
                <c:pt idx="1">
                  <c:v>2.8696660544777389E-2</c:v>
                </c:pt>
                <c:pt idx="2">
                  <c:v>2.4278258167472814E-2</c:v>
                </c:pt>
                <c:pt idx="3">
                  <c:v>2.40943507312248E-2</c:v>
                </c:pt>
                <c:pt idx="4">
                  <c:v>2.2722728854361104E-2</c:v>
                </c:pt>
                <c:pt idx="5">
                  <c:v>3.3841584145353369E-2</c:v>
                </c:pt>
                <c:pt idx="6">
                  <c:v>1.8910319117323503E-2</c:v>
                </c:pt>
                <c:pt idx="7">
                  <c:v>2.2074738309070807E-2</c:v>
                </c:pt>
                <c:pt idx="8">
                  <c:v>1.9958200830651345E-2</c:v>
                </c:pt>
                <c:pt idx="9">
                  <c:v>3.2659036901510771E-2</c:v>
                </c:pt>
              </c:numCache>
            </c:numRef>
          </c:val>
          <c:extLst>
            <c:ext xmlns:c16="http://schemas.microsoft.com/office/drawing/2014/chart" uri="{C3380CC4-5D6E-409C-BE32-E72D297353CC}">
              <c16:uniqueId val="{00000002-5D0A-4044-B9FF-7112DFE332BF}"/>
            </c:ext>
          </c:extLst>
        </c:ser>
        <c:ser>
          <c:idx val="3"/>
          <c:order val="3"/>
          <c:tx>
            <c:strRef>
              <c:f>Jiangsu!$E$132</c:f>
              <c:strCache>
                <c:ptCount val="1"/>
                <c:pt idx="0">
                  <c:v>2030</c:v>
                </c:pt>
              </c:strCache>
            </c:strRef>
          </c:tx>
          <c:invertIfNegative val="0"/>
          <c:cat>
            <c:strRef>
              <c:f>Jiangsu!$A$133:$A$142</c:f>
              <c:strCache>
                <c:ptCount val="10"/>
                <c:pt idx="0">
                  <c:v>Jiangsu</c:v>
                </c:pt>
                <c:pt idx="1">
                  <c:v>China</c:v>
                </c:pt>
                <c:pt idx="2">
                  <c:v>Brazil</c:v>
                </c:pt>
                <c:pt idx="3">
                  <c:v>India</c:v>
                </c:pt>
                <c:pt idx="4">
                  <c:v>Indonesia</c:v>
                </c:pt>
                <c:pt idx="5">
                  <c:v>Japan</c:v>
                </c:pt>
                <c:pt idx="6">
                  <c:v>Malaysia</c:v>
                </c:pt>
                <c:pt idx="7">
                  <c:v>Philippines</c:v>
                </c:pt>
                <c:pt idx="8">
                  <c:v>Singapore</c:v>
                </c:pt>
                <c:pt idx="9">
                  <c:v>United States</c:v>
                </c:pt>
              </c:strCache>
            </c:strRef>
          </c:cat>
          <c:val>
            <c:numRef>
              <c:f>Jiangsu!$E$133:$E$142</c:f>
              <c:numCache>
                <c:formatCode>0.0%</c:formatCode>
                <c:ptCount val="10"/>
                <c:pt idx="0">
                  <c:v>3.1235660631753863E-2</c:v>
                </c:pt>
                <c:pt idx="1">
                  <c:v>2.8167788734967652E-2</c:v>
                </c:pt>
                <c:pt idx="2">
                  <c:v>2.6367096198455661E-2</c:v>
                </c:pt>
                <c:pt idx="3">
                  <c:v>2.5581109477367393E-2</c:v>
                </c:pt>
                <c:pt idx="4">
                  <c:v>2.3938518820971463E-2</c:v>
                </c:pt>
                <c:pt idx="5">
                  <c:v>3.5442596359557432E-2</c:v>
                </c:pt>
                <c:pt idx="6">
                  <c:v>2.0114790591173302E-2</c:v>
                </c:pt>
                <c:pt idx="7">
                  <c:v>2.248304320235632E-2</c:v>
                </c:pt>
                <c:pt idx="8">
                  <c:v>2.0461841729736693E-2</c:v>
                </c:pt>
                <c:pt idx="9">
                  <c:v>3.0878303445049656E-2</c:v>
                </c:pt>
              </c:numCache>
            </c:numRef>
          </c:val>
          <c:extLst>
            <c:ext xmlns:c16="http://schemas.microsoft.com/office/drawing/2014/chart" uri="{C3380CC4-5D6E-409C-BE32-E72D297353CC}">
              <c16:uniqueId val="{00000003-5D0A-4044-B9FF-7112DFE332BF}"/>
            </c:ext>
          </c:extLst>
        </c:ser>
        <c:dLbls>
          <c:showLegendKey val="0"/>
          <c:showVal val="0"/>
          <c:showCatName val="0"/>
          <c:showSerName val="0"/>
          <c:showPercent val="0"/>
          <c:showBubbleSize val="0"/>
        </c:dLbls>
        <c:gapWidth val="150"/>
        <c:axId val="39200256"/>
        <c:axId val="39201792"/>
      </c:barChart>
      <c:catAx>
        <c:axId val="39200256"/>
        <c:scaling>
          <c:orientation val="minMax"/>
        </c:scaling>
        <c:delete val="0"/>
        <c:axPos val="b"/>
        <c:numFmt formatCode="General" sourceLinked="0"/>
        <c:majorTickMark val="out"/>
        <c:minorTickMark val="none"/>
        <c:tickLblPos val="nextTo"/>
        <c:txPr>
          <a:bodyPr/>
          <a:lstStyle/>
          <a:p>
            <a:pPr>
              <a:defRPr sz="900"/>
            </a:pPr>
            <a:endParaRPr lang="en-US"/>
          </a:p>
        </c:txPr>
        <c:crossAx val="39201792"/>
        <c:crosses val="autoZero"/>
        <c:auto val="1"/>
        <c:lblAlgn val="ctr"/>
        <c:lblOffset val="100"/>
        <c:noMultiLvlLbl val="0"/>
      </c:catAx>
      <c:valAx>
        <c:axId val="39201792"/>
        <c:scaling>
          <c:orientation val="minMax"/>
        </c:scaling>
        <c:delete val="0"/>
        <c:axPos val="l"/>
        <c:majorGridlines/>
        <c:numFmt formatCode="0.0%" sourceLinked="0"/>
        <c:majorTickMark val="out"/>
        <c:minorTickMark val="none"/>
        <c:tickLblPos val="nextTo"/>
        <c:txPr>
          <a:bodyPr/>
          <a:lstStyle/>
          <a:p>
            <a:pPr>
              <a:defRPr sz="900"/>
            </a:pPr>
            <a:endParaRPr lang="en-US"/>
          </a:p>
        </c:txPr>
        <c:crossAx val="39200256"/>
        <c:crosses val="autoZero"/>
        <c:crossBetween val="between"/>
      </c:valAx>
    </c:plotArea>
    <c:legend>
      <c:legendPos val="r"/>
      <c:overlay val="0"/>
    </c:legend>
    <c:plotVisOnly val="1"/>
    <c:dispBlanksAs val="gap"/>
    <c:showDLblsOverMax val="0"/>
  </c:chart>
  <c:spPr>
    <a:ln>
      <a:noFill/>
    </a:ln>
  </c:sp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Jiangsu!$F$132</c:f>
              <c:strCache>
                <c:ptCount val="1"/>
                <c:pt idx="0">
                  <c:v>Change 2015-30</c:v>
                </c:pt>
              </c:strCache>
            </c:strRef>
          </c:tx>
          <c:invertIfNegative val="0"/>
          <c:cat>
            <c:strRef>
              <c:f>Jiangsu!$A$133:$A$142</c:f>
              <c:strCache>
                <c:ptCount val="10"/>
                <c:pt idx="0">
                  <c:v>Jiangsu</c:v>
                </c:pt>
                <c:pt idx="1">
                  <c:v>China</c:v>
                </c:pt>
                <c:pt idx="2">
                  <c:v>Brazil</c:v>
                </c:pt>
                <c:pt idx="3">
                  <c:v>India</c:v>
                </c:pt>
                <c:pt idx="4">
                  <c:v>Indonesia</c:v>
                </c:pt>
                <c:pt idx="5">
                  <c:v>Japan</c:v>
                </c:pt>
                <c:pt idx="6">
                  <c:v>Malaysia</c:v>
                </c:pt>
                <c:pt idx="7">
                  <c:v>Philippines</c:v>
                </c:pt>
                <c:pt idx="8">
                  <c:v>Singapore</c:v>
                </c:pt>
                <c:pt idx="9">
                  <c:v>United States</c:v>
                </c:pt>
              </c:strCache>
            </c:strRef>
          </c:cat>
          <c:val>
            <c:numRef>
              <c:f>Jiangsu!$F$133:$F$142</c:f>
              <c:numCache>
                <c:formatCode>0.0%</c:formatCode>
                <c:ptCount val="10"/>
                <c:pt idx="0">
                  <c:v>7.3992323902507366E-3</c:v>
                </c:pt>
                <c:pt idx="1">
                  <c:v>6.6725022155489436E-3</c:v>
                </c:pt>
                <c:pt idx="2">
                  <c:v>4.9826725652252178E-3</c:v>
                </c:pt>
                <c:pt idx="3">
                  <c:v>3.5358439979060012E-3</c:v>
                </c:pt>
                <c:pt idx="4">
                  <c:v>4.8008470222705088E-3</c:v>
                </c:pt>
                <c:pt idx="5">
                  <c:v>6.3425353092131757E-3</c:v>
                </c:pt>
                <c:pt idx="6">
                  <c:v>2.9398174511391026E-3</c:v>
                </c:pt>
                <c:pt idx="7">
                  <c:v>1.8331656332099718E-3</c:v>
                </c:pt>
                <c:pt idx="8">
                  <c:v>1.1295657778216013E-3</c:v>
                </c:pt>
                <c:pt idx="9">
                  <c:v>-3.9114468113489696E-3</c:v>
                </c:pt>
              </c:numCache>
            </c:numRef>
          </c:val>
          <c:extLst>
            <c:ext xmlns:c16="http://schemas.microsoft.com/office/drawing/2014/chart" uri="{C3380CC4-5D6E-409C-BE32-E72D297353CC}">
              <c16:uniqueId val="{00000000-ADBF-4C10-B2C8-9C38A00C56AB}"/>
            </c:ext>
          </c:extLst>
        </c:ser>
        <c:dLbls>
          <c:showLegendKey val="0"/>
          <c:showVal val="0"/>
          <c:showCatName val="0"/>
          <c:showSerName val="0"/>
          <c:showPercent val="0"/>
          <c:showBubbleSize val="0"/>
        </c:dLbls>
        <c:gapWidth val="150"/>
        <c:axId val="39230080"/>
        <c:axId val="39235968"/>
      </c:barChart>
      <c:catAx>
        <c:axId val="39230080"/>
        <c:scaling>
          <c:orientation val="minMax"/>
        </c:scaling>
        <c:delete val="0"/>
        <c:axPos val="l"/>
        <c:numFmt formatCode="General" sourceLinked="0"/>
        <c:majorTickMark val="out"/>
        <c:minorTickMark val="none"/>
        <c:tickLblPos val="nextTo"/>
        <c:txPr>
          <a:bodyPr/>
          <a:lstStyle/>
          <a:p>
            <a:pPr>
              <a:defRPr sz="900"/>
            </a:pPr>
            <a:endParaRPr lang="en-US"/>
          </a:p>
        </c:txPr>
        <c:crossAx val="39235968"/>
        <c:crosses val="autoZero"/>
        <c:auto val="1"/>
        <c:lblAlgn val="ctr"/>
        <c:lblOffset val="100"/>
        <c:noMultiLvlLbl val="0"/>
      </c:catAx>
      <c:valAx>
        <c:axId val="39235968"/>
        <c:scaling>
          <c:orientation val="minMax"/>
        </c:scaling>
        <c:delete val="0"/>
        <c:axPos val="b"/>
        <c:majorGridlines/>
        <c:numFmt formatCode="0.0%" sourceLinked="1"/>
        <c:majorTickMark val="out"/>
        <c:minorTickMark val="none"/>
        <c:tickLblPos val="nextTo"/>
        <c:txPr>
          <a:bodyPr/>
          <a:lstStyle/>
          <a:p>
            <a:pPr>
              <a:defRPr sz="900"/>
            </a:pPr>
            <a:endParaRPr lang="en-US"/>
          </a:p>
        </c:txPr>
        <c:crossAx val="39230080"/>
        <c:crosses val="autoZero"/>
        <c:crossBetween val="between"/>
      </c:valAx>
    </c:plotArea>
    <c:plotVisOnly val="1"/>
    <c:dispBlanksAs val="gap"/>
    <c:showDLblsOverMax val="0"/>
  </c:chart>
  <c:spPr>
    <a:ln>
      <a:noFill/>
    </a:ln>
  </c:sp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5.2203014853028432E-2"/>
          <c:y val="3.7319762510602206E-2"/>
          <c:w val="0.88928490260556514"/>
          <c:h val="0.8776873501499336"/>
        </c:manualLayout>
      </c:layout>
      <c:barChart>
        <c:barDir val="bar"/>
        <c:grouping val="clustered"/>
        <c:varyColors val="0"/>
        <c:ser>
          <c:idx val="0"/>
          <c:order val="0"/>
          <c:tx>
            <c:strRef>
              <c:f>Jiangsu!$I$3</c:f>
              <c:strCache>
                <c:ptCount val="1"/>
                <c:pt idx="0">
                  <c:v>Change in % GDP Total Absenteeism + Presenteeism + early retirement 2015-30</c:v>
                </c:pt>
              </c:strCache>
            </c:strRef>
          </c:tx>
          <c:invertIfNegative val="0"/>
          <c:cat>
            <c:strRef>
              <c:f>Jiangsu!$A$4:$A$13</c:f>
              <c:strCache>
                <c:ptCount val="10"/>
                <c:pt idx="0">
                  <c:v>Jiangsu</c:v>
                </c:pt>
                <c:pt idx="1">
                  <c:v>China</c:v>
                </c:pt>
                <c:pt idx="2">
                  <c:v>Brazil</c:v>
                </c:pt>
                <c:pt idx="3">
                  <c:v>India</c:v>
                </c:pt>
                <c:pt idx="4">
                  <c:v>Indonesia</c:v>
                </c:pt>
                <c:pt idx="5">
                  <c:v>Japan</c:v>
                </c:pt>
                <c:pt idx="6">
                  <c:v>Malaysia</c:v>
                </c:pt>
                <c:pt idx="7">
                  <c:v>Philippines</c:v>
                </c:pt>
                <c:pt idx="8">
                  <c:v>Singapore</c:v>
                </c:pt>
                <c:pt idx="9">
                  <c:v>USA </c:v>
                </c:pt>
              </c:strCache>
            </c:strRef>
          </c:cat>
          <c:val>
            <c:numRef>
              <c:f>Jiangsu!$I$4:$I$13</c:f>
              <c:numCache>
                <c:formatCode>0.0%</c:formatCode>
                <c:ptCount val="10"/>
                <c:pt idx="0">
                  <c:v>9.999999999999995E-3</c:v>
                </c:pt>
                <c:pt idx="1">
                  <c:v>1.0072502215548937E-2</c:v>
                </c:pt>
                <c:pt idx="2">
                  <c:v>2.3999999999999994E-3</c:v>
                </c:pt>
                <c:pt idx="3">
                  <c:v>5.9999999999999915E-3</c:v>
                </c:pt>
                <c:pt idx="4">
                  <c:v>7.1008470222704984E-3</c:v>
                </c:pt>
                <c:pt idx="5">
                  <c:v>9.999999999999995E-3</c:v>
                </c:pt>
                <c:pt idx="6">
                  <c:v>6.4398174511390988E-3</c:v>
                </c:pt>
                <c:pt idx="7">
                  <c:v>3.0000000000000027E-3</c:v>
                </c:pt>
                <c:pt idx="8">
                  <c:v>3.0000000000000027E-3</c:v>
                </c:pt>
                <c:pt idx="9">
                  <c:v>-2.9114468113489722E-3</c:v>
                </c:pt>
              </c:numCache>
            </c:numRef>
          </c:val>
          <c:extLst>
            <c:ext xmlns:c16="http://schemas.microsoft.com/office/drawing/2014/chart" uri="{C3380CC4-5D6E-409C-BE32-E72D297353CC}">
              <c16:uniqueId val="{00000000-F397-4014-BDDB-AA434168FA6C}"/>
            </c:ext>
          </c:extLst>
        </c:ser>
        <c:dLbls>
          <c:showLegendKey val="0"/>
          <c:showVal val="0"/>
          <c:showCatName val="0"/>
          <c:showSerName val="0"/>
          <c:showPercent val="0"/>
          <c:showBubbleSize val="0"/>
        </c:dLbls>
        <c:gapWidth val="150"/>
        <c:axId val="38404096"/>
        <c:axId val="38405632"/>
      </c:barChart>
      <c:catAx>
        <c:axId val="38404096"/>
        <c:scaling>
          <c:orientation val="minMax"/>
        </c:scaling>
        <c:delete val="0"/>
        <c:axPos val="l"/>
        <c:numFmt formatCode="General" sourceLinked="0"/>
        <c:majorTickMark val="out"/>
        <c:minorTickMark val="none"/>
        <c:tickLblPos val="nextTo"/>
        <c:txPr>
          <a:bodyPr/>
          <a:lstStyle/>
          <a:p>
            <a:pPr>
              <a:defRPr sz="900"/>
            </a:pPr>
            <a:endParaRPr lang="en-US"/>
          </a:p>
        </c:txPr>
        <c:crossAx val="38405632"/>
        <c:crosses val="autoZero"/>
        <c:auto val="1"/>
        <c:lblAlgn val="ctr"/>
        <c:lblOffset val="100"/>
        <c:noMultiLvlLbl val="0"/>
      </c:catAx>
      <c:valAx>
        <c:axId val="38405632"/>
        <c:scaling>
          <c:orientation val="minMax"/>
        </c:scaling>
        <c:delete val="0"/>
        <c:axPos val="b"/>
        <c:majorGridlines/>
        <c:numFmt formatCode="0.0%" sourceLinked="1"/>
        <c:majorTickMark val="out"/>
        <c:minorTickMark val="none"/>
        <c:tickLblPos val="nextTo"/>
        <c:txPr>
          <a:bodyPr/>
          <a:lstStyle/>
          <a:p>
            <a:pPr>
              <a:defRPr sz="900"/>
            </a:pPr>
            <a:endParaRPr lang="en-US"/>
          </a:p>
        </c:txPr>
        <c:crossAx val="38404096"/>
        <c:crosses val="autoZero"/>
        <c:crossBetween val="between"/>
      </c:valAx>
    </c:plotArea>
    <c:plotVisOnly val="1"/>
    <c:dispBlanksAs val="gap"/>
    <c:showDLblsOverMax val="0"/>
  </c:chart>
  <c:spPr>
    <a:ln>
      <a:noFill/>
    </a:ln>
  </c:spPr>
  <c:externalData r:id="rId1">
    <c:autoUpdate val="0"/>
  </c:externalData>
</c:chartSpace>
</file>

<file path=word/charts/colors1.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991495-E288-4D65-B75D-486144011E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4317</Words>
  <Characters>24613</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Victoria University</Company>
  <LinksUpToDate>false</LinksUpToDate>
  <CharactersWithSpaces>28873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Bruce</dc:creator>
  <cp:lastModifiedBy>Bruce Rasmussen</cp:lastModifiedBy>
  <cp:revision>2</cp:revision>
  <cp:lastPrinted>2017-09-14T04:30:00Z</cp:lastPrinted>
  <dcterms:created xsi:type="dcterms:W3CDTF">2017-09-28T07:46:00Z</dcterms:created>
  <dcterms:modified xsi:type="dcterms:W3CDTF">2017-09-28T07:46:00Z</dcterms:modified>
</cp:coreProperties>
</file>