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362" w:rsidRPr="00A05D24" w:rsidRDefault="002F0941" w:rsidP="00ED43C5">
      <w:pPr>
        <w:pStyle w:val="Heading1"/>
        <w:spacing w:before="0"/>
        <w:jc w:val="center"/>
        <w:rPr>
          <w:sz w:val="24"/>
        </w:rPr>
      </w:pPr>
      <w:bookmarkStart w:id="0" w:name="_GoBack"/>
      <w:bookmarkEnd w:id="0"/>
      <w:r w:rsidRPr="00A05D24">
        <w:rPr>
          <w:sz w:val="24"/>
        </w:rPr>
        <w:t>U.C. Chamber of Comme</w:t>
      </w:r>
      <w:r>
        <w:rPr>
          <w:sz w:val="24"/>
        </w:rPr>
        <w:t>rce</w:t>
      </w:r>
    </w:p>
    <w:p w:rsidR="006403F5" w:rsidRPr="00A05D24" w:rsidRDefault="002F0941" w:rsidP="00ED43C5">
      <w:pPr>
        <w:pStyle w:val="Heading1"/>
        <w:spacing w:before="0"/>
        <w:jc w:val="center"/>
        <w:rPr>
          <w:sz w:val="24"/>
        </w:rPr>
      </w:pPr>
      <w:r w:rsidRPr="00A05D24">
        <w:rPr>
          <w:sz w:val="24"/>
        </w:rPr>
        <w:t>Spring 2019 LRC Meeting</w:t>
      </w:r>
    </w:p>
    <w:p w:rsidR="00C271AD" w:rsidRPr="00A05D24" w:rsidRDefault="002F0941" w:rsidP="00ED43C5">
      <w:pPr>
        <w:pStyle w:val="Heading1"/>
        <w:spacing w:before="0"/>
        <w:jc w:val="center"/>
        <w:rPr>
          <w:sz w:val="24"/>
        </w:rPr>
      </w:pPr>
      <w:r w:rsidRPr="00A05D24">
        <w:rPr>
          <w:sz w:val="24"/>
        </w:rPr>
        <w:t>Summary of Chamber Comments</w:t>
      </w:r>
      <w:r w:rsidRPr="00A05D24">
        <w:rPr>
          <w:sz w:val="24"/>
        </w:rPr>
        <w:t xml:space="preserve"> on the Part 541 NPRM</w:t>
      </w:r>
    </w:p>
    <w:p w:rsidR="00C271AD" w:rsidRPr="00A05D24" w:rsidRDefault="002F0941" w:rsidP="00ED43C5">
      <w:pPr>
        <w:pStyle w:val="Heading1"/>
        <w:spacing w:before="0"/>
        <w:jc w:val="center"/>
        <w:rPr>
          <w:i/>
          <w:sz w:val="24"/>
        </w:rPr>
      </w:pPr>
      <w:r w:rsidRPr="00A05D24">
        <w:rPr>
          <w:i/>
          <w:sz w:val="24"/>
        </w:rPr>
        <w:t>Due: May 21, 2019</w:t>
      </w:r>
    </w:p>
    <w:p w:rsidR="00C271AD" w:rsidRPr="00A05D24" w:rsidRDefault="002F0941">
      <w:pPr>
        <w:rPr>
          <w:sz w:val="20"/>
        </w:rPr>
      </w:pPr>
    </w:p>
    <w:p w:rsidR="00C271AD" w:rsidRPr="00A05D24" w:rsidRDefault="002F0941" w:rsidP="00D80E1C">
      <w:pPr>
        <w:pStyle w:val="Heading2"/>
        <w:pBdr>
          <w:bottom w:val="single" w:sz="4" w:space="1" w:color="auto"/>
        </w:pBdr>
        <w:spacing w:before="360"/>
        <w:rPr>
          <w:sz w:val="24"/>
        </w:rPr>
      </w:pPr>
      <w:r w:rsidRPr="00A05D24">
        <w:rPr>
          <w:sz w:val="24"/>
        </w:rPr>
        <w:t>Minimum S</w:t>
      </w:r>
      <w:r w:rsidRPr="00A05D24">
        <w:rPr>
          <w:sz w:val="24"/>
        </w:rPr>
        <w:t xml:space="preserve">alary </w:t>
      </w:r>
      <w:r w:rsidRPr="00A05D24">
        <w:rPr>
          <w:sz w:val="24"/>
        </w:rPr>
        <w:t>L</w:t>
      </w:r>
      <w:r w:rsidRPr="00A05D24">
        <w:rPr>
          <w:sz w:val="24"/>
        </w:rPr>
        <w:t>evel</w:t>
      </w:r>
    </w:p>
    <w:p w:rsidR="00ED43C5" w:rsidRPr="00A05D24" w:rsidRDefault="002F0941" w:rsidP="0060155E">
      <w:pPr>
        <w:pStyle w:val="ListParagraph"/>
        <w:numPr>
          <w:ilvl w:val="0"/>
          <w:numId w:val="2"/>
        </w:numPr>
        <w:spacing w:before="240" w:after="240"/>
        <w:contextualSpacing w:val="0"/>
        <w:rPr>
          <w:sz w:val="22"/>
        </w:rPr>
      </w:pPr>
      <w:r w:rsidRPr="00A05D24">
        <w:rPr>
          <w:sz w:val="22"/>
        </w:rPr>
        <w:t xml:space="preserve">The Chamber supports the Department’s decision to return to the methodology it established in 2004 for setting the </w:t>
      </w:r>
      <w:r w:rsidRPr="00A05D24">
        <w:rPr>
          <w:sz w:val="22"/>
        </w:rPr>
        <w:t>minimum salary level at the 20th percentile of employees in the South and retail industry.</w:t>
      </w:r>
    </w:p>
    <w:p w:rsidR="008D4AD1" w:rsidRPr="00A05D24" w:rsidRDefault="002F0941" w:rsidP="0060155E">
      <w:pPr>
        <w:pStyle w:val="ListParagraph"/>
        <w:numPr>
          <w:ilvl w:val="1"/>
          <w:numId w:val="2"/>
        </w:numPr>
        <w:spacing w:before="240" w:after="240"/>
        <w:contextualSpacing w:val="0"/>
        <w:rPr>
          <w:sz w:val="22"/>
        </w:rPr>
      </w:pPr>
      <w:r w:rsidRPr="00A05D24">
        <w:rPr>
          <w:sz w:val="22"/>
        </w:rPr>
        <w:t>However, the Department did not actually apply the 2004 methodology because the proposal re-defines the “South”</w:t>
      </w:r>
      <w:r w:rsidRPr="00A05D24">
        <w:rPr>
          <w:sz w:val="22"/>
        </w:rPr>
        <w:t xml:space="preserve"> as the entire South Census Region</w:t>
      </w:r>
      <w:r w:rsidRPr="00A05D24">
        <w:rPr>
          <w:sz w:val="22"/>
        </w:rPr>
        <w:t>.</w:t>
      </w:r>
    </w:p>
    <w:p w:rsidR="00ED43C5" w:rsidRPr="00A05D24" w:rsidRDefault="002F0941" w:rsidP="0060155E">
      <w:pPr>
        <w:pStyle w:val="ListParagraph"/>
        <w:numPr>
          <w:ilvl w:val="1"/>
          <w:numId w:val="2"/>
        </w:numPr>
        <w:spacing w:before="240" w:after="240"/>
        <w:contextualSpacing w:val="0"/>
        <w:rPr>
          <w:sz w:val="22"/>
        </w:rPr>
      </w:pPr>
      <w:r w:rsidRPr="00A05D24">
        <w:rPr>
          <w:sz w:val="22"/>
        </w:rPr>
        <w:t>In 2004, the Depar</w:t>
      </w:r>
      <w:r w:rsidRPr="00A05D24">
        <w:rPr>
          <w:sz w:val="22"/>
        </w:rPr>
        <w:t xml:space="preserve">tment used </w:t>
      </w:r>
      <w:r w:rsidRPr="00A05D24">
        <w:rPr>
          <w:sz w:val="22"/>
        </w:rPr>
        <w:t xml:space="preserve">just the 8 states in the East South and West South Census Division in 2004: Kentucky, Tennessee, Alabama, Mississippi, Louisiana, Arkansas, Oklahoma and Texas. </w:t>
      </w:r>
    </w:p>
    <w:p w:rsidR="0060155E" w:rsidRPr="00A05D24" w:rsidRDefault="002F0941" w:rsidP="0060155E">
      <w:pPr>
        <w:pStyle w:val="ListParagraph"/>
        <w:numPr>
          <w:ilvl w:val="1"/>
          <w:numId w:val="2"/>
        </w:numPr>
        <w:spacing w:before="240" w:after="240"/>
        <w:contextualSpacing w:val="0"/>
        <w:rPr>
          <w:sz w:val="22"/>
        </w:rPr>
      </w:pPr>
      <w:r w:rsidRPr="00A05D24">
        <w:rPr>
          <w:sz w:val="22"/>
        </w:rPr>
        <w:t xml:space="preserve">The </w:t>
      </w:r>
      <w:r w:rsidRPr="00A05D24">
        <w:rPr>
          <w:sz w:val="22"/>
        </w:rPr>
        <w:t xml:space="preserve">NPRM </w:t>
      </w:r>
      <w:r w:rsidRPr="00A05D24">
        <w:rPr>
          <w:sz w:val="22"/>
        </w:rPr>
        <w:t>include</w:t>
      </w:r>
      <w:r w:rsidRPr="00A05D24">
        <w:rPr>
          <w:sz w:val="22"/>
        </w:rPr>
        <w:t>s</w:t>
      </w:r>
      <w:r w:rsidRPr="00A05D24">
        <w:rPr>
          <w:sz w:val="22"/>
        </w:rPr>
        <w:t xml:space="preserve"> salar</w:t>
      </w:r>
      <w:r w:rsidRPr="00A05D24">
        <w:rPr>
          <w:sz w:val="22"/>
        </w:rPr>
        <w:t xml:space="preserve">y data </w:t>
      </w:r>
      <w:r w:rsidRPr="00A05D24">
        <w:rPr>
          <w:sz w:val="22"/>
        </w:rPr>
        <w:t>from Maryland, Virginia and Washington, D.C. – three o</w:t>
      </w:r>
      <w:r w:rsidRPr="00A05D24">
        <w:rPr>
          <w:sz w:val="22"/>
        </w:rPr>
        <w:t>f the highest earnings states in the country.</w:t>
      </w:r>
    </w:p>
    <w:p w:rsidR="008D4AD1" w:rsidRPr="00A05D24" w:rsidRDefault="002F0941" w:rsidP="0060155E">
      <w:pPr>
        <w:pStyle w:val="ListParagraph"/>
        <w:numPr>
          <w:ilvl w:val="1"/>
          <w:numId w:val="2"/>
        </w:numPr>
        <w:spacing w:before="240" w:after="240"/>
        <w:contextualSpacing w:val="0"/>
        <w:rPr>
          <w:sz w:val="22"/>
        </w:rPr>
      </w:pPr>
      <w:r w:rsidRPr="00A05D24">
        <w:rPr>
          <w:sz w:val="22"/>
        </w:rPr>
        <w:t>In addition, the Department inappropriately increased the calculated minimum salary based on 2017 actual data for inflation to 2020.</w:t>
      </w:r>
    </w:p>
    <w:p w:rsidR="008D4AD1" w:rsidRPr="00A05D24" w:rsidRDefault="002F0941" w:rsidP="0060155E">
      <w:pPr>
        <w:pStyle w:val="ListParagraph"/>
        <w:numPr>
          <w:ilvl w:val="1"/>
          <w:numId w:val="2"/>
        </w:numPr>
        <w:spacing w:before="240" w:after="240"/>
        <w:contextualSpacing w:val="0"/>
        <w:rPr>
          <w:sz w:val="22"/>
        </w:rPr>
      </w:pPr>
      <w:r w:rsidRPr="00A05D24">
        <w:rPr>
          <w:sz w:val="22"/>
        </w:rPr>
        <w:t>Correcting these errors, the minimum salary level for exemption should be $61</w:t>
      </w:r>
      <w:r w:rsidRPr="00A05D24">
        <w:rPr>
          <w:sz w:val="22"/>
        </w:rPr>
        <w:t>5 per week ($31,980 annually).</w:t>
      </w:r>
    </w:p>
    <w:p w:rsidR="00ED43C5" w:rsidRPr="00A05D24" w:rsidRDefault="002F0941" w:rsidP="008D4AD1">
      <w:pPr>
        <w:pStyle w:val="ListParagraph"/>
        <w:numPr>
          <w:ilvl w:val="0"/>
          <w:numId w:val="2"/>
        </w:numPr>
        <w:spacing w:before="240" w:after="240"/>
        <w:contextualSpacing w:val="0"/>
        <w:rPr>
          <w:sz w:val="22"/>
        </w:rPr>
      </w:pPr>
      <w:r w:rsidRPr="00A05D24">
        <w:rPr>
          <w:sz w:val="22"/>
        </w:rPr>
        <w:t xml:space="preserve">The Chamber supports allowing employers to credit </w:t>
      </w:r>
      <w:r w:rsidRPr="00A05D24">
        <w:rPr>
          <w:sz w:val="22"/>
        </w:rPr>
        <w:t xml:space="preserve">toward the minimum salary level </w:t>
      </w:r>
      <w:r w:rsidRPr="00A05D24">
        <w:rPr>
          <w:sz w:val="22"/>
        </w:rPr>
        <w:t xml:space="preserve">non-discretionary incentive pay </w:t>
      </w:r>
      <w:r w:rsidRPr="00A05D24">
        <w:rPr>
          <w:sz w:val="22"/>
        </w:rPr>
        <w:t>paid annually or more frequently</w:t>
      </w:r>
      <w:r w:rsidRPr="00A05D24">
        <w:rPr>
          <w:sz w:val="22"/>
        </w:rPr>
        <w:t>.</w:t>
      </w:r>
    </w:p>
    <w:p w:rsidR="00BC12EF" w:rsidRPr="00A05D24" w:rsidRDefault="002F0941" w:rsidP="008D4AD1">
      <w:pPr>
        <w:pStyle w:val="ListParagraph"/>
        <w:numPr>
          <w:ilvl w:val="1"/>
          <w:numId w:val="2"/>
        </w:numPr>
        <w:spacing w:before="240" w:after="240"/>
        <w:contextualSpacing w:val="0"/>
        <w:rPr>
          <w:sz w:val="22"/>
        </w:rPr>
      </w:pPr>
      <w:r w:rsidRPr="00A05D24">
        <w:rPr>
          <w:sz w:val="22"/>
        </w:rPr>
        <w:t>We support change from 2016 Final Rule</w:t>
      </w:r>
      <w:r w:rsidRPr="00A05D24">
        <w:rPr>
          <w:sz w:val="22"/>
        </w:rPr>
        <w:t xml:space="preserve"> which </w:t>
      </w:r>
      <w:r w:rsidRPr="00A05D24">
        <w:rPr>
          <w:sz w:val="22"/>
        </w:rPr>
        <w:t>only allow</w:t>
      </w:r>
      <w:r w:rsidRPr="00A05D24">
        <w:rPr>
          <w:sz w:val="22"/>
        </w:rPr>
        <w:t>ed</w:t>
      </w:r>
      <w:r w:rsidRPr="00A05D24">
        <w:rPr>
          <w:sz w:val="22"/>
        </w:rPr>
        <w:t xml:space="preserve"> credit for incentiv</w:t>
      </w:r>
      <w:r w:rsidRPr="00A05D24">
        <w:rPr>
          <w:sz w:val="22"/>
        </w:rPr>
        <w:t>es paid quarterly.</w:t>
      </w:r>
    </w:p>
    <w:p w:rsidR="00BC12EF" w:rsidRPr="00A05D24" w:rsidRDefault="002F0941" w:rsidP="008D4AD1">
      <w:pPr>
        <w:pStyle w:val="ListParagraph"/>
        <w:numPr>
          <w:ilvl w:val="1"/>
          <w:numId w:val="2"/>
        </w:numPr>
        <w:spacing w:before="240" w:after="240"/>
        <w:contextualSpacing w:val="0"/>
        <w:rPr>
          <w:sz w:val="22"/>
        </w:rPr>
      </w:pPr>
      <w:r w:rsidRPr="00A05D24">
        <w:rPr>
          <w:sz w:val="22"/>
        </w:rPr>
        <w:t xml:space="preserve">However, we object to the 10% cap.  The Department should allow all non-discretionary incentive pay to count towards the minimum, but no less than 25% </w:t>
      </w:r>
    </w:p>
    <w:p w:rsidR="00A05D24" w:rsidRPr="00A05D24" w:rsidRDefault="002F0941" w:rsidP="008D4AD1">
      <w:pPr>
        <w:pStyle w:val="ListParagraph"/>
        <w:numPr>
          <w:ilvl w:val="1"/>
          <w:numId w:val="2"/>
        </w:numPr>
        <w:spacing w:before="240" w:after="240"/>
        <w:contextualSpacing w:val="0"/>
        <w:rPr>
          <w:sz w:val="22"/>
        </w:rPr>
      </w:pPr>
      <w:r w:rsidRPr="00A05D24">
        <w:rPr>
          <w:sz w:val="22"/>
        </w:rPr>
        <w:t xml:space="preserve">Also, the Department should allow more than one pay period for make-up payments and </w:t>
      </w:r>
      <w:r w:rsidRPr="00A05D24">
        <w:rPr>
          <w:sz w:val="22"/>
        </w:rPr>
        <w:t>adopt a safe harbor to prevent minor errors to cause loss of the exemption.</w:t>
      </w:r>
    </w:p>
    <w:p w:rsidR="00A05D24" w:rsidRPr="00A05D24" w:rsidRDefault="002F0941" w:rsidP="00A05D24">
      <w:pPr>
        <w:pStyle w:val="ListParagraph"/>
        <w:numPr>
          <w:ilvl w:val="2"/>
          <w:numId w:val="2"/>
        </w:numPr>
        <w:spacing w:before="240" w:after="240"/>
        <w:contextualSpacing w:val="0"/>
        <w:rPr>
          <w:sz w:val="22"/>
        </w:rPr>
      </w:pPr>
      <w:r w:rsidRPr="00A05D24">
        <w:rPr>
          <w:sz w:val="22"/>
        </w:rPr>
        <w:t xml:space="preserve">The highly compensated test gives employers one month for make-up payments; a calendar quarter is justified here because more employers will be using the incentive credit for more </w:t>
      </w:r>
      <w:r w:rsidRPr="00A05D24">
        <w:rPr>
          <w:sz w:val="22"/>
        </w:rPr>
        <w:t>employees.</w:t>
      </w:r>
    </w:p>
    <w:p w:rsidR="00A05D24" w:rsidRPr="00A05D24" w:rsidRDefault="002F0941" w:rsidP="00A05D24">
      <w:pPr>
        <w:pStyle w:val="ListParagraph"/>
        <w:numPr>
          <w:ilvl w:val="2"/>
          <w:numId w:val="2"/>
        </w:numPr>
        <w:spacing w:before="240" w:after="240"/>
        <w:contextualSpacing w:val="0"/>
        <w:rPr>
          <w:sz w:val="22"/>
        </w:rPr>
      </w:pPr>
      <w:r w:rsidRPr="00A05D24">
        <w:rPr>
          <w:sz w:val="22"/>
        </w:rPr>
        <w:t>The Department should adopt a provision similar to the safe harbor for salary basis test violations.</w:t>
      </w:r>
    </w:p>
    <w:p w:rsidR="00A05D24" w:rsidRPr="00A05D24" w:rsidRDefault="002F0941" w:rsidP="0060155E">
      <w:pPr>
        <w:spacing w:before="240" w:after="240"/>
        <w:rPr>
          <w:sz w:val="20"/>
        </w:rPr>
      </w:pPr>
    </w:p>
    <w:p w:rsidR="00BE6F29" w:rsidRPr="00A05D24" w:rsidRDefault="002F0941" w:rsidP="00D80E1C">
      <w:pPr>
        <w:pStyle w:val="Heading2"/>
        <w:pBdr>
          <w:bottom w:val="single" w:sz="4" w:space="1" w:color="auto"/>
        </w:pBdr>
        <w:spacing w:before="360"/>
        <w:rPr>
          <w:sz w:val="24"/>
        </w:rPr>
      </w:pPr>
      <w:r w:rsidRPr="00A05D24">
        <w:rPr>
          <w:sz w:val="24"/>
        </w:rPr>
        <w:lastRenderedPageBreak/>
        <w:t>Highly Compensated Test</w:t>
      </w:r>
    </w:p>
    <w:p w:rsidR="00BE6F29" w:rsidRPr="00A05D24" w:rsidRDefault="002F0941" w:rsidP="00D80E1C">
      <w:pPr>
        <w:pStyle w:val="ListParagraph"/>
        <w:numPr>
          <w:ilvl w:val="0"/>
          <w:numId w:val="3"/>
        </w:numPr>
        <w:spacing w:before="240" w:after="240"/>
        <w:contextualSpacing w:val="0"/>
        <w:rPr>
          <w:sz w:val="22"/>
        </w:rPr>
      </w:pPr>
      <w:r w:rsidRPr="00A05D24">
        <w:rPr>
          <w:sz w:val="22"/>
        </w:rPr>
        <w:t xml:space="preserve">The Chamber believes that the Department’s proposal to increase the total annual compensation level for highly compensated employees from $100,000 to $147,414 sets the level too high.  </w:t>
      </w:r>
    </w:p>
    <w:p w:rsidR="00BE6F29" w:rsidRPr="00A05D24" w:rsidRDefault="002F0941" w:rsidP="00D80E1C">
      <w:pPr>
        <w:pStyle w:val="ListParagraph"/>
        <w:numPr>
          <w:ilvl w:val="1"/>
          <w:numId w:val="3"/>
        </w:numPr>
        <w:spacing w:before="240" w:after="240"/>
        <w:contextualSpacing w:val="0"/>
        <w:rPr>
          <w:sz w:val="22"/>
        </w:rPr>
      </w:pPr>
      <w:r w:rsidRPr="00A05D24">
        <w:rPr>
          <w:sz w:val="22"/>
        </w:rPr>
        <w:t xml:space="preserve">The Department based </w:t>
      </w:r>
      <w:r>
        <w:rPr>
          <w:sz w:val="22"/>
        </w:rPr>
        <w:t xml:space="preserve">its </w:t>
      </w:r>
      <w:r w:rsidRPr="00A05D24">
        <w:rPr>
          <w:sz w:val="22"/>
        </w:rPr>
        <w:t xml:space="preserve">new level on the 90th percentile of national </w:t>
      </w:r>
      <w:r w:rsidRPr="00A05D24">
        <w:rPr>
          <w:sz w:val="22"/>
        </w:rPr>
        <w:t>salary data, rather than the South and retail data used to set the minimum salary level.</w:t>
      </w:r>
    </w:p>
    <w:p w:rsidR="00D80E1C" w:rsidRDefault="002F0941" w:rsidP="00D80E1C">
      <w:pPr>
        <w:pStyle w:val="ListParagraph"/>
        <w:numPr>
          <w:ilvl w:val="1"/>
          <w:numId w:val="3"/>
        </w:numPr>
        <w:spacing w:before="240" w:after="240"/>
        <w:contextualSpacing w:val="0"/>
        <w:rPr>
          <w:sz w:val="22"/>
        </w:rPr>
      </w:pPr>
      <w:r>
        <w:rPr>
          <w:sz w:val="22"/>
        </w:rPr>
        <w:t>T</w:t>
      </w:r>
      <w:r w:rsidRPr="00A05D24">
        <w:rPr>
          <w:sz w:val="22"/>
        </w:rPr>
        <w:t>he Department should use the same data set used for the minimum salary level</w:t>
      </w:r>
      <w:r>
        <w:rPr>
          <w:sz w:val="22"/>
        </w:rPr>
        <w:t>.</w:t>
      </w:r>
    </w:p>
    <w:p w:rsidR="00D80E1C" w:rsidRPr="00A05D24" w:rsidRDefault="002F0941" w:rsidP="00D80E1C">
      <w:pPr>
        <w:pStyle w:val="ListParagraph"/>
        <w:numPr>
          <w:ilvl w:val="1"/>
          <w:numId w:val="2"/>
        </w:numPr>
        <w:spacing w:before="240" w:after="240"/>
        <w:contextualSpacing w:val="0"/>
        <w:rPr>
          <w:sz w:val="22"/>
        </w:rPr>
      </w:pPr>
      <w:r>
        <w:rPr>
          <w:sz w:val="22"/>
        </w:rPr>
        <w:t xml:space="preserve"> </w:t>
      </w:r>
      <w:r w:rsidRPr="00A05D24">
        <w:rPr>
          <w:sz w:val="22"/>
        </w:rPr>
        <w:t>In addition, the Department inappropriately increased the calculated minimum salary bas</w:t>
      </w:r>
      <w:r w:rsidRPr="00A05D24">
        <w:rPr>
          <w:sz w:val="22"/>
        </w:rPr>
        <w:t>ed on 2017 actual data for inflation to 2020.</w:t>
      </w:r>
    </w:p>
    <w:p w:rsidR="00BE6F29" w:rsidRPr="00D80E1C" w:rsidRDefault="002F0941" w:rsidP="0060155E">
      <w:pPr>
        <w:pStyle w:val="ListParagraph"/>
        <w:numPr>
          <w:ilvl w:val="1"/>
          <w:numId w:val="2"/>
        </w:numPr>
        <w:spacing w:before="240" w:after="240"/>
        <w:contextualSpacing w:val="0"/>
        <w:rPr>
          <w:sz w:val="22"/>
        </w:rPr>
      </w:pPr>
      <w:r w:rsidRPr="00A05D24">
        <w:rPr>
          <w:sz w:val="22"/>
        </w:rPr>
        <w:t xml:space="preserve">Correcting these errors, the </w:t>
      </w:r>
      <w:r>
        <w:rPr>
          <w:sz w:val="22"/>
        </w:rPr>
        <w:t>highly compensated level s</w:t>
      </w:r>
      <w:r w:rsidRPr="00A05D24">
        <w:rPr>
          <w:sz w:val="22"/>
        </w:rPr>
        <w:t xml:space="preserve">hould be </w:t>
      </w:r>
      <w:r>
        <w:rPr>
          <w:sz w:val="22"/>
        </w:rPr>
        <w:t xml:space="preserve">$122,000 </w:t>
      </w:r>
      <w:r w:rsidRPr="00A05D24">
        <w:rPr>
          <w:sz w:val="22"/>
        </w:rPr>
        <w:t>annually.</w:t>
      </w:r>
    </w:p>
    <w:p w:rsidR="00BE6F29" w:rsidRPr="00A05D24" w:rsidRDefault="002F0941" w:rsidP="00D80E1C">
      <w:pPr>
        <w:pStyle w:val="Heading2"/>
        <w:pBdr>
          <w:bottom w:val="single" w:sz="4" w:space="1" w:color="auto"/>
        </w:pBdr>
        <w:spacing w:before="360"/>
        <w:rPr>
          <w:sz w:val="24"/>
        </w:rPr>
      </w:pPr>
      <w:r w:rsidRPr="00A05D24">
        <w:rPr>
          <w:sz w:val="24"/>
        </w:rPr>
        <w:t>Future Increases</w:t>
      </w:r>
    </w:p>
    <w:p w:rsidR="00C271AD" w:rsidRPr="00DC1D68" w:rsidRDefault="002F0941" w:rsidP="00DC1D68">
      <w:pPr>
        <w:pStyle w:val="ListParagraph"/>
        <w:numPr>
          <w:ilvl w:val="0"/>
          <w:numId w:val="3"/>
        </w:numPr>
        <w:spacing w:before="240" w:after="240"/>
        <w:contextualSpacing w:val="0"/>
        <w:rPr>
          <w:sz w:val="22"/>
          <w:szCs w:val="22"/>
        </w:rPr>
      </w:pPr>
      <w:r w:rsidRPr="00DC1D68">
        <w:rPr>
          <w:sz w:val="22"/>
          <w:szCs w:val="22"/>
        </w:rPr>
        <w:t>While the Chamber applauds the Department’s commitment to notice-and-comment rulemaking in setting future sala</w:t>
      </w:r>
      <w:r w:rsidRPr="00DC1D68">
        <w:rPr>
          <w:sz w:val="22"/>
          <w:szCs w:val="22"/>
        </w:rPr>
        <w:t xml:space="preserve">ry thresholds, we see no reason to commit to a rigid schedule of every four years. Instead, the Department should pursue future overtime rules to set the salary threshold based on economic conditions. </w:t>
      </w:r>
    </w:p>
    <w:p w:rsidR="00DC1D68" w:rsidRPr="00DC1D68" w:rsidRDefault="002F0941" w:rsidP="00DC1D68">
      <w:pPr>
        <w:pStyle w:val="ListParagraph"/>
        <w:numPr>
          <w:ilvl w:val="0"/>
          <w:numId w:val="3"/>
        </w:numPr>
        <w:spacing w:before="240" w:after="240"/>
        <w:contextualSpacing w:val="0"/>
        <w:rPr>
          <w:sz w:val="22"/>
          <w:szCs w:val="22"/>
        </w:rPr>
      </w:pPr>
      <w:r w:rsidRPr="00DC1D68">
        <w:rPr>
          <w:sz w:val="22"/>
          <w:szCs w:val="22"/>
        </w:rPr>
        <w:t>The Chamber has no objection to including the methodol</w:t>
      </w:r>
      <w:r w:rsidRPr="00DC1D68">
        <w:rPr>
          <w:sz w:val="22"/>
          <w:szCs w:val="22"/>
        </w:rPr>
        <w:t>ogy for determining the salary levels in the regulations as doing so would ensure transparency and stability of the methodology.</w:t>
      </w:r>
    </w:p>
    <w:p w:rsidR="00DC1D68" w:rsidRPr="000D24D4" w:rsidRDefault="002F0941" w:rsidP="00DC1D68">
      <w:pPr>
        <w:pageBreakBefore/>
        <w:spacing w:before="480" w:after="240" w:line="276" w:lineRule="auto"/>
        <w:jc w:val="center"/>
        <w:rPr>
          <w:rFonts w:ascii="Times New Roman" w:hAnsi="Times New Roman"/>
          <w:b/>
        </w:rPr>
      </w:pPr>
      <w:r w:rsidRPr="000D24D4">
        <w:rPr>
          <w:rFonts w:ascii="Times New Roman" w:hAnsi="Times New Roman"/>
          <w:b/>
        </w:rPr>
        <w:lastRenderedPageBreak/>
        <w:t>Table 1</w:t>
      </w:r>
    </w:p>
    <w:p w:rsidR="00DC1D68" w:rsidRPr="000D24D4" w:rsidRDefault="002F0941" w:rsidP="00DC1D68">
      <w:pPr>
        <w:spacing w:after="360" w:line="276" w:lineRule="auto"/>
        <w:jc w:val="center"/>
        <w:rPr>
          <w:rFonts w:ascii="Times New Roman" w:hAnsi="Times New Roman"/>
        </w:rPr>
      </w:pPr>
      <w:r w:rsidRPr="000D24D4">
        <w:rPr>
          <w:rFonts w:ascii="Times New Roman" w:hAnsi="Times New Roman"/>
          <w:b/>
        </w:rPr>
        <w:t>Comparison of DOL 2019 NPRM Calculated and Projected Minimum Salary and Highly Compensated Levels to Chamber Calculatio</w:t>
      </w:r>
      <w:r w:rsidRPr="000D24D4">
        <w:rPr>
          <w:rFonts w:ascii="Times New Roman" w:hAnsi="Times New Roman"/>
          <w:b/>
        </w:rPr>
        <w:t>ns Based on 2004 DOL Methods</w:t>
      </w:r>
    </w:p>
    <w:tbl>
      <w:tblPr>
        <w:tblStyle w:val="TableGrid"/>
        <w:tblW w:w="4500" w:type="pct"/>
        <w:jc w:val="center"/>
        <w:tblLook w:val="04A0" w:firstRow="1" w:lastRow="0" w:firstColumn="1" w:lastColumn="0" w:noHBand="0" w:noVBand="1"/>
      </w:tblPr>
      <w:tblGrid>
        <w:gridCol w:w="2111"/>
        <w:gridCol w:w="2102"/>
        <w:gridCol w:w="2114"/>
        <w:gridCol w:w="2088"/>
      </w:tblGrid>
      <w:tr w:rsidR="00F70DF4" w:rsidTr="003F22AA">
        <w:trPr>
          <w:jc w:val="center"/>
        </w:trPr>
        <w:tc>
          <w:tcPr>
            <w:tcW w:w="2111" w:type="dxa"/>
            <w:tcBorders>
              <w:right w:val="single" w:sz="4" w:space="0" w:color="FFFFFF" w:themeColor="background1"/>
            </w:tcBorders>
            <w:shd w:val="clear" w:color="auto" w:fill="44546A" w:themeFill="text2"/>
          </w:tcPr>
          <w:p w:rsidR="00DC1D68" w:rsidRPr="00447988" w:rsidRDefault="002F0941" w:rsidP="003F22AA">
            <w:pPr>
              <w:spacing w:before="120" w:after="120" w:line="276" w:lineRule="auto"/>
              <w:jc w:val="center"/>
              <w:rPr>
                <w:rFonts w:ascii="Times New Roman" w:hAnsi="Times New Roman"/>
                <w:b/>
                <w:color w:val="FFFFFF" w:themeColor="background1"/>
              </w:rPr>
            </w:pPr>
          </w:p>
        </w:tc>
        <w:tc>
          <w:tcPr>
            <w:tcW w:w="2102" w:type="dxa"/>
            <w:tcBorders>
              <w:left w:val="single" w:sz="4" w:space="0" w:color="FFFFFF" w:themeColor="background1"/>
              <w:right w:val="single" w:sz="4" w:space="0" w:color="FFFFFF" w:themeColor="background1"/>
            </w:tcBorders>
            <w:shd w:val="clear" w:color="auto" w:fill="44546A" w:themeFill="text2"/>
          </w:tcPr>
          <w:p w:rsidR="00DC1D68" w:rsidRPr="00447988" w:rsidRDefault="002F0941" w:rsidP="003F22AA">
            <w:pPr>
              <w:spacing w:before="120" w:after="120" w:line="276" w:lineRule="auto"/>
              <w:jc w:val="center"/>
              <w:rPr>
                <w:rFonts w:ascii="Times New Roman" w:hAnsi="Times New Roman"/>
                <w:b/>
                <w:color w:val="FFFFFF" w:themeColor="background1"/>
              </w:rPr>
            </w:pPr>
            <w:r w:rsidRPr="00447988">
              <w:rPr>
                <w:rFonts w:ascii="Times New Roman" w:hAnsi="Times New Roman"/>
                <w:b/>
                <w:color w:val="FFFFFF" w:themeColor="background1"/>
              </w:rPr>
              <w:t>DOL 2017 Calculated</w:t>
            </w:r>
          </w:p>
        </w:tc>
        <w:tc>
          <w:tcPr>
            <w:tcW w:w="2114" w:type="dxa"/>
            <w:tcBorders>
              <w:left w:val="single" w:sz="4" w:space="0" w:color="FFFFFF" w:themeColor="background1"/>
              <w:right w:val="single" w:sz="4" w:space="0" w:color="FFFFFF" w:themeColor="background1"/>
            </w:tcBorders>
            <w:shd w:val="clear" w:color="auto" w:fill="44546A" w:themeFill="text2"/>
          </w:tcPr>
          <w:p w:rsidR="00DC1D68" w:rsidRPr="00447988" w:rsidRDefault="002F0941" w:rsidP="003F22AA">
            <w:pPr>
              <w:spacing w:before="120" w:after="120" w:line="276" w:lineRule="auto"/>
              <w:jc w:val="center"/>
              <w:rPr>
                <w:rFonts w:ascii="Times New Roman" w:hAnsi="Times New Roman"/>
                <w:b/>
                <w:color w:val="FFFFFF" w:themeColor="background1"/>
              </w:rPr>
            </w:pPr>
            <w:r w:rsidRPr="00447988">
              <w:rPr>
                <w:rFonts w:ascii="Times New Roman" w:hAnsi="Times New Roman"/>
                <w:b/>
                <w:color w:val="FFFFFF" w:themeColor="background1"/>
              </w:rPr>
              <w:t>DOL 202</w:t>
            </w:r>
            <w:r>
              <w:rPr>
                <w:rFonts w:ascii="Times New Roman" w:hAnsi="Times New Roman"/>
                <w:b/>
                <w:color w:val="FFFFFF" w:themeColor="background1"/>
              </w:rPr>
              <w:t>0</w:t>
            </w:r>
            <w:r w:rsidRPr="00447988">
              <w:rPr>
                <w:rFonts w:ascii="Times New Roman" w:hAnsi="Times New Roman"/>
                <w:b/>
                <w:color w:val="FFFFFF" w:themeColor="background1"/>
              </w:rPr>
              <w:t xml:space="preserve">  Projections</w:t>
            </w:r>
          </w:p>
        </w:tc>
        <w:tc>
          <w:tcPr>
            <w:tcW w:w="2088" w:type="dxa"/>
            <w:tcBorders>
              <w:left w:val="single" w:sz="4" w:space="0" w:color="FFFFFF" w:themeColor="background1"/>
            </w:tcBorders>
            <w:shd w:val="clear" w:color="auto" w:fill="44546A" w:themeFill="text2"/>
          </w:tcPr>
          <w:p w:rsidR="00DC1D68" w:rsidRDefault="002F0941" w:rsidP="003F22AA">
            <w:pPr>
              <w:spacing w:before="120" w:line="276" w:lineRule="auto"/>
              <w:jc w:val="center"/>
              <w:rPr>
                <w:rFonts w:ascii="Times New Roman" w:hAnsi="Times New Roman"/>
                <w:b/>
                <w:color w:val="FFFFFF" w:themeColor="background1"/>
              </w:rPr>
            </w:pPr>
            <w:r w:rsidRPr="00447988">
              <w:rPr>
                <w:rFonts w:ascii="Times New Roman" w:hAnsi="Times New Roman"/>
                <w:b/>
                <w:color w:val="FFFFFF" w:themeColor="background1"/>
              </w:rPr>
              <w:t xml:space="preserve">Chamber Corrected </w:t>
            </w:r>
          </w:p>
          <w:p w:rsidR="00DC1D68" w:rsidRPr="00447988" w:rsidRDefault="002F0941" w:rsidP="003F22AA">
            <w:pPr>
              <w:spacing w:after="120" w:line="276" w:lineRule="auto"/>
              <w:jc w:val="center"/>
              <w:rPr>
                <w:rFonts w:ascii="Times New Roman" w:hAnsi="Times New Roman"/>
                <w:b/>
                <w:color w:val="FFFFFF" w:themeColor="background1"/>
              </w:rPr>
            </w:pPr>
            <w:r w:rsidRPr="00447988">
              <w:rPr>
                <w:rFonts w:ascii="Times New Roman" w:hAnsi="Times New Roman"/>
                <w:b/>
                <w:color w:val="FFFFFF" w:themeColor="background1"/>
              </w:rPr>
              <w:t>(2017 data)</w:t>
            </w:r>
            <w:r>
              <w:rPr>
                <w:rStyle w:val="FootnoteReference"/>
                <w:rFonts w:eastAsiaTheme="minorHAnsi"/>
                <w:b/>
                <w:color w:val="FFFFFF" w:themeColor="background1"/>
                <w:sz w:val="24"/>
                <w:szCs w:val="24"/>
              </w:rPr>
              <w:footnoteReference w:id="1"/>
            </w:r>
          </w:p>
        </w:tc>
      </w:tr>
      <w:tr w:rsidR="00F70DF4" w:rsidTr="003F22AA">
        <w:trPr>
          <w:jc w:val="center"/>
        </w:trPr>
        <w:tc>
          <w:tcPr>
            <w:tcW w:w="8415" w:type="dxa"/>
            <w:gridSpan w:val="4"/>
            <w:shd w:val="clear" w:color="auto" w:fill="FFF2CC" w:themeFill="accent4" w:themeFillTint="33"/>
          </w:tcPr>
          <w:p w:rsidR="00DC1D68" w:rsidRDefault="002F0941" w:rsidP="003F22AA">
            <w:pPr>
              <w:spacing w:before="120" w:after="120" w:line="276" w:lineRule="auto"/>
              <w:jc w:val="both"/>
              <w:rPr>
                <w:rFonts w:ascii="Times New Roman" w:hAnsi="Times New Roman"/>
              </w:rPr>
            </w:pPr>
            <w:r w:rsidRPr="000D24D4">
              <w:rPr>
                <w:rFonts w:ascii="Times New Roman" w:hAnsi="Times New Roman"/>
              </w:rPr>
              <w:t>Minimum salary test based on 20</w:t>
            </w:r>
            <w:r w:rsidRPr="000D24D4">
              <w:rPr>
                <w:rFonts w:ascii="Times New Roman" w:hAnsi="Times New Roman"/>
                <w:vertAlign w:val="superscript"/>
              </w:rPr>
              <w:t>th</w:t>
            </w:r>
            <w:r w:rsidRPr="000D24D4">
              <w:rPr>
                <w:rFonts w:ascii="Times New Roman" w:hAnsi="Times New Roman"/>
              </w:rPr>
              <w:t xml:space="preserve"> </w:t>
            </w:r>
            <w:r>
              <w:rPr>
                <w:rFonts w:ascii="Times New Roman" w:hAnsi="Times New Roman"/>
              </w:rPr>
              <w:t xml:space="preserve">percentile </w:t>
            </w:r>
            <w:r w:rsidRPr="000D24D4">
              <w:rPr>
                <w:rFonts w:ascii="Times New Roman" w:hAnsi="Times New Roman"/>
              </w:rPr>
              <w:t>weekly earnings percentile of full-time covered workers in retail or the “South”</w:t>
            </w:r>
          </w:p>
        </w:tc>
      </w:tr>
      <w:tr w:rsidR="00F70DF4" w:rsidTr="003F22AA">
        <w:trPr>
          <w:jc w:val="center"/>
        </w:trPr>
        <w:tc>
          <w:tcPr>
            <w:tcW w:w="2111" w:type="dxa"/>
          </w:tcPr>
          <w:p w:rsidR="00DC1D68" w:rsidRPr="000D24D4" w:rsidRDefault="002F0941" w:rsidP="003F22AA">
            <w:pPr>
              <w:spacing w:before="120" w:after="120"/>
              <w:jc w:val="right"/>
              <w:rPr>
                <w:rFonts w:ascii="Times New Roman" w:hAnsi="Times New Roman"/>
              </w:rPr>
            </w:pPr>
            <w:r w:rsidRPr="000D24D4">
              <w:rPr>
                <w:rFonts w:ascii="Times New Roman" w:hAnsi="Times New Roman"/>
              </w:rPr>
              <w:t xml:space="preserve">Weekly </w:t>
            </w:r>
          </w:p>
        </w:tc>
        <w:tc>
          <w:tcPr>
            <w:tcW w:w="2102" w:type="dxa"/>
          </w:tcPr>
          <w:p w:rsidR="00DC1D68" w:rsidRPr="000D24D4" w:rsidRDefault="002F0941" w:rsidP="003F22AA">
            <w:pPr>
              <w:spacing w:before="120" w:after="120"/>
              <w:jc w:val="right"/>
              <w:rPr>
                <w:rFonts w:ascii="Times New Roman" w:hAnsi="Times New Roman"/>
              </w:rPr>
            </w:pPr>
            <w:r w:rsidRPr="000D24D4">
              <w:rPr>
                <w:rFonts w:ascii="Times New Roman" w:hAnsi="Times New Roman"/>
              </w:rPr>
              <w:t>$641</w:t>
            </w:r>
          </w:p>
        </w:tc>
        <w:tc>
          <w:tcPr>
            <w:tcW w:w="2114" w:type="dxa"/>
          </w:tcPr>
          <w:p w:rsidR="00DC1D68" w:rsidRDefault="002F0941" w:rsidP="003F22AA">
            <w:pPr>
              <w:spacing w:before="120" w:after="120" w:line="276" w:lineRule="auto"/>
              <w:jc w:val="right"/>
              <w:rPr>
                <w:rFonts w:ascii="Times New Roman" w:hAnsi="Times New Roman"/>
              </w:rPr>
            </w:pPr>
            <w:r w:rsidRPr="000D24D4">
              <w:rPr>
                <w:rFonts w:ascii="Times New Roman" w:hAnsi="Times New Roman"/>
              </w:rPr>
              <w:t>$679</w:t>
            </w:r>
          </w:p>
        </w:tc>
        <w:tc>
          <w:tcPr>
            <w:tcW w:w="2088" w:type="dxa"/>
          </w:tcPr>
          <w:p w:rsidR="00DC1D68" w:rsidRPr="000D24D4" w:rsidRDefault="002F0941" w:rsidP="003F22AA">
            <w:pPr>
              <w:spacing w:before="120" w:after="120"/>
              <w:jc w:val="right"/>
              <w:rPr>
                <w:rFonts w:ascii="Times New Roman" w:hAnsi="Times New Roman"/>
              </w:rPr>
            </w:pPr>
            <w:r w:rsidRPr="000D24D4">
              <w:rPr>
                <w:rFonts w:ascii="Times New Roman" w:hAnsi="Times New Roman"/>
              </w:rPr>
              <w:t>$615.42</w:t>
            </w:r>
          </w:p>
        </w:tc>
      </w:tr>
      <w:tr w:rsidR="00F70DF4" w:rsidTr="003F22AA">
        <w:trPr>
          <w:jc w:val="center"/>
        </w:trPr>
        <w:tc>
          <w:tcPr>
            <w:tcW w:w="2111" w:type="dxa"/>
          </w:tcPr>
          <w:p w:rsidR="00DC1D68" w:rsidRDefault="002F0941" w:rsidP="003F22AA">
            <w:pPr>
              <w:spacing w:before="120" w:after="120" w:line="276" w:lineRule="auto"/>
              <w:jc w:val="right"/>
              <w:rPr>
                <w:rFonts w:ascii="Times New Roman" w:hAnsi="Times New Roman"/>
              </w:rPr>
            </w:pPr>
            <w:r w:rsidRPr="000D24D4">
              <w:rPr>
                <w:rFonts w:ascii="Times New Roman" w:hAnsi="Times New Roman"/>
              </w:rPr>
              <w:t>Annual</w:t>
            </w:r>
          </w:p>
        </w:tc>
        <w:tc>
          <w:tcPr>
            <w:tcW w:w="2102" w:type="dxa"/>
          </w:tcPr>
          <w:p w:rsidR="00DC1D68" w:rsidRPr="000D24D4" w:rsidRDefault="002F0941" w:rsidP="003F22AA">
            <w:pPr>
              <w:spacing w:before="120" w:after="120"/>
              <w:jc w:val="right"/>
              <w:rPr>
                <w:rFonts w:ascii="Times New Roman" w:hAnsi="Times New Roman"/>
              </w:rPr>
            </w:pPr>
            <w:r w:rsidRPr="000D24D4">
              <w:rPr>
                <w:rFonts w:ascii="Times New Roman" w:hAnsi="Times New Roman"/>
              </w:rPr>
              <w:t>$33,332</w:t>
            </w:r>
          </w:p>
        </w:tc>
        <w:tc>
          <w:tcPr>
            <w:tcW w:w="2114" w:type="dxa"/>
          </w:tcPr>
          <w:p w:rsidR="00DC1D68" w:rsidRDefault="002F0941" w:rsidP="003F22AA">
            <w:pPr>
              <w:spacing w:before="120" w:after="120" w:line="276" w:lineRule="auto"/>
              <w:jc w:val="right"/>
              <w:rPr>
                <w:rFonts w:ascii="Times New Roman" w:hAnsi="Times New Roman"/>
              </w:rPr>
            </w:pPr>
            <w:r w:rsidRPr="000D24D4">
              <w:rPr>
                <w:rFonts w:ascii="Times New Roman" w:hAnsi="Times New Roman"/>
              </w:rPr>
              <w:t>$35,308</w:t>
            </w:r>
          </w:p>
        </w:tc>
        <w:tc>
          <w:tcPr>
            <w:tcW w:w="2088" w:type="dxa"/>
          </w:tcPr>
          <w:p w:rsidR="00DC1D68" w:rsidRDefault="002F0941" w:rsidP="003F22AA">
            <w:pPr>
              <w:spacing w:before="120" w:after="120" w:line="276" w:lineRule="auto"/>
              <w:jc w:val="right"/>
              <w:rPr>
                <w:rFonts w:ascii="Times New Roman" w:hAnsi="Times New Roman"/>
              </w:rPr>
            </w:pPr>
            <w:r w:rsidRPr="000D24D4">
              <w:rPr>
                <w:rFonts w:ascii="Times New Roman" w:hAnsi="Times New Roman"/>
              </w:rPr>
              <w:t>$32,002</w:t>
            </w:r>
          </w:p>
        </w:tc>
      </w:tr>
      <w:tr w:rsidR="00F70DF4" w:rsidTr="003F22AA">
        <w:trPr>
          <w:jc w:val="center"/>
        </w:trPr>
        <w:tc>
          <w:tcPr>
            <w:tcW w:w="8415" w:type="dxa"/>
            <w:gridSpan w:val="4"/>
            <w:shd w:val="clear" w:color="auto" w:fill="FFF2CC" w:themeFill="accent4" w:themeFillTint="33"/>
          </w:tcPr>
          <w:p w:rsidR="00DC1D68" w:rsidRDefault="002F0941" w:rsidP="003F22AA">
            <w:pPr>
              <w:spacing w:before="120" w:after="120" w:line="276" w:lineRule="auto"/>
              <w:rPr>
                <w:rFonts w:ascii="Times New Roman" w:hAnsi="Times New Roman"/>
              </w:rPr>
            </w:pPr>
            <w:r w:rsidRPr="000D24D4">
              <w:rPr>
                <w:rFonts w:ascii="Times New Roman" w:hAnsi="Times New Roman"/>
              </w:rPr>
              <w:t>HCE salary test based on 90</w:t>
            </w:r>
            <w:r w:rsidRPr="000D24D4">
              <w:rPr>
                <w:rFonts w:ascii="Times New Roman" w:hAnsi="Times New Roman"/>
                <w:vertAlign w:val="superscript"/>
              </w:rPr>
              <w:t xml:space="preserve">th </w:t>
            </w:r>
            <w:r w:rsidRPr="000D24D4">
              <w:rPr>
                <w:rFonts w:ascii="Times New Roman" w:hAnsi="Times New Roman"/>
              </w:rPr>
              <w:t xml:space="preserve"> </w:t>
            </w:r>
            <w:r>
              <w:rPr>
                <w:rFonts w:ascii="Times New Roman" w:hAnsi="Times New Roman"/>
              </w:rPr>
              <w:t xml:space="preserve">percentile </w:t>
            </w:r>
            <w:r w:rsidRPr="000D24D4">
              <w:rPr>
                <w:rFonts w:ascii="Times New Roman" w:hAnsi="Times New Roman"/>
              </w:rPr>
              <w:t>weekly earnings percentile of covered workers nationwide</w:t>
            </w:r>
          </w:p>
        </w:tc>
      </w:tr>
      <w:tr w:rsidR="00F70DF4" w:rsidTr="003F22AA">
        <w:trPr>
          <w:jc w:val="center"/>
        </w:trPr>
        <w:tc>
          <w:tcPr>
            <w:tcW w:w="2111" w:type="dxa"/>
          </w:tcPr>
          <w:p w:rsidR="00DC1D68" w:rsidRPr="000D24D4" w:rsidRDefault="002F0941" w:rsidP="003F22AA">
            <w:pPr>
              <w:spacing w:before="120" w:after="120"/>
              <w:jc w:val="right"/>
              <w:rPr>
                <w:rFonts w:ascii="Times New Roman" w:hAnsi="Times New Roman"/>
              </w:rPr>
            </w:pPr>
            <w:r w:rsidRPr="000D24D4">
              <w:rPr>
                <w:rFonts w:ascii="Times New Roman" w:hAnsi="Times New Roman"/>
              </w:rPr>
              <w:t xml:space="preserve">Weekly basis </w:t>
            </w:r>
          </w:p>
        </w:tc>
        <w:tc>
          <w:tcPr>
            <w:tcW w:w="2102" w:type="dxa"/>
          </w:tcPr>
          <w:p w:rsidR="00DC1D68" w:rsidRDefault="002F0941" w:rsidP="003F22AA">
            <w:pPr>
              <w:spacing w:before="120" w:after="120" w:line="276" w:lineRule="auto"/>
              <w:jc w:val="right"/>
              <w:rPr>
                <w:rFonts w:ascii="Times New Roman" w:hAnsi="Times New Roman"/>
              </w:rPr>
            </w:pPr>
            <w:r w:rsidRPr="000D24D4">
              <w:rPr>
                <w:rFonts w:ascii="Times New Roman" w:hAnsi="Times New Roman"/>
              </w:rPr>
              <w:t>$2,682</w:t>
            </w:r>
          </w:p>
        </w:tc>
        <w:tc>
          <w:tcPr>
            <w:tcW w:w="2114" w:type="dxa"/>
          </w:tcPr>
          <w:p w:rsidR="00DC1D68" w:rsidRDefault="002F0941" w:rsidP="003F22AA">
            <w:pPr>
              <w:spacing w:before="120" w:after="120" w:line="276" w:lineRule="auto"/>
              <w:jc w:val="right"/>
              <w:rPr>
                <w:rFonts w:ascii="Times New Roman" w:hAnsi="Times New Roman"/>
              </w:rPr>
            </w:pPr>
            <w:r w:rsidRPr="000D24D4">
              <w:rPr>
                <w:rFonts w:ascii="Times New Roman" w:hAnsi="Times New Roman"/>
              </w:rPr>
              <w:t>$2,835</w:t>
            </w:r>
          </w:p>
        </w:tc>
        <w:tc>
          <w:tcPr>
            <w:tcW w:w="2088" w:type="dxa"/>
          </w:tcPr>
          <w:p w:rsidR="00DC1D68" w:rsidRPr="000D24D4" w:rsidRDefault="002F0941" w:rsidP="003F22AA">
            <w:pPr>
              <w:spacing w:before="120" w:after="120"/>
              <w:jc w:val="right"/>
              <w:rPr>
                <w:rFonts w:ascii="Times New Roman" w:hAnsi="Times New Roman"/>
              </w:rPr>
            </w:pPr>
            <w:r w:rsidRPr="000D24D4">
              <w:rPr>
                <w:rFonts w:ascii="Times New Roman" w:hAnsi="Times New Roman"/>
              </w:rPr>
              <w:t>$2,564.24</w:t>
            </w:r>
          </w:p>
        </w:tc>
      </w:tr>
      <w:tr w:rsidR="00F70DF4" w:rsidTr="003F22AA">
        <w:trPr>
          <w:jc w:val="center"/>
        </w:trPr>
        <w:tc>
          <w:tcPr>
            <w:tcW w:w="2111" w:type="dxa"/>
          </w:tcPr>
          <w:p w:rsidR="00DC1D68" w:rsidRPr="000D24D4" w:rsidRDefault="002F0941" w:rsidP="003F22AA">
            <w:pPr>
              <w:spacing w:before="120" w:after="120"/>
              <w:jc w:val="right"/>
              <w:rPr>
                <w:rFonts w:ascii="Times New Roman" w:hAnsi="Times New Roman"/>
              </w:rPr>
            </w:pPr>
            <w:r w:rsidRPr="000D24D4">
              <w:rPr>
                <w:rFonts w:ascii="Times New Roman" w:hAnsi="Times New Roman"/>
              </w:rPr>
              <w:t xml:space="preserve">Annual </w:t>
            </w:r>
          </w:p>
        </w:tc>
        <w:tc>
          <w:tcPr>
            <w:tcW w:w="2102" w:type="dxa"/>
          </w:tcPr>
          <w:p w:rsidR="00DC1D68" w:rsidRPr="000D24D4" w:rsidRDefault="002F0941" w:rsidP="003F22AA">
            <w:pPr>
              <w:spacing w:before="120" w:after="120"/>
              <w:jc w:val="right"/>
              <w:rPr>
                <w:rFonts w:ascii="Times New Roman" w:hAnsi="Times New Roman"/>
              </w:rPr>
            </w:pPr>
            <w:r w:rsidRPr="000D24D4">
              <w:rPr>
                <w:rFonts w:ascii="Times New Roman" w:hAnsi="Times New Roman"/>
              </w:rPr>
              <w:t>$139,464</w:t>
            </w:r>
          </w:p>
        </w:tc>
        <w:tc>
          <w:tcPr>
            <w:tcW w:w="2114" w:type="dxa"/>
          </w:tcPr>
          <w:p w:rsidR="00DC1D68" w:rsidRPr="000D24D4" w:rsidRDefault="002F0941" w:rsidP="003F22AA">
            <w:pPr>
              <w:spacing w:before="120" w:after="120"/>
              <w:jc w:val="right"/>
              <w:rPr>
                <w:rFonts w:ascii="Times New Roman" w:hAnsi="Times New Roman"/>
              </w:rPr>
            </w:pPr>
            <w:r w:rsidRPr="000D24D4">
              <w:rPr>
                <w:rFonts w:ascii="Times New Roman" w:hAnsi="Times New Roman"/>
              </w:rPr>
              <w:t>$147,414</w:t>
            </w:r>
          </w:p>
        </w:tc>
        <w:tc>
          <w:tcPr>
            <w:tcW w:w="2088" w:type="dxa"/>
          </w:tcPr>
          <w:p w:rsidR="00DC1D68" w:rsidRPr="000D24D4" w:rsidRDefault="002F0941" w:rsidP="003F22AA">
            <w:pPr>
              <w:spacing w:before="120" w:after="120"/>
              <w:jc w:val="right"/>
              <w:rPr>
                <w:rFonts w:ascii="Times New Roman" w:hAnsi="Times New Roman"/>
              </w:rPr>
            </w:pPr>
            <w:r w:rsidRPr="000D24D4">
              <w:rPr>
                <w:rFonts w:ascii="Times New Roman" w:hAnsi="Times New Roman"/>
              </w:rPr>
              <w:t>$133,340</w:t>
            </w:r>
          </w:p>
        </w:tc>
      </w:tr>
      <w:tr w:rsidR="00F70DF4" w:rsidTr="003F22AA">
        <w:trPr>
          <w:jc w:val="center"/>
        </w:trPr>
        <w:tc>
          <w:tcPr>
            <w:tcW w:w="8415" w:type="dxa"/>
            <w:gridSpan w:val="4"/>
            <w:shd w:val="clear" w:color="auto" w:fill="FFF2CC" w:themeFill="accent4" w:themeFillTint="33"/>
          </w:tcPr>
          <w:p w:rsidR="00DC1D68" w:rsidRDefault="002F0941" w:rsidP="003F22AA">
            <w:pPr>
              <w:spacing w:before="120" w:after="120" w:line="276" w:lineRule="auto"/>
              <w:rPr>
                <w:rFonts w:ascii="Times New Roman" w:hAnsi="Times New Roman"/>
              </w:rPr>
            </w:pPr>
            <w:r w:rsidRPr="000D24D4">
              <w:rPr>
                <w:rFonts w:ascii="Times New Roman" w:hAnsi="Times New Roman"/>
              </w:rPr>
              <w:t>HCE salary test based on 90</w:t>
            </w:r>
            <w:r w:rsidRPr="000D24D4">
              <w:rPr>
                <w:rFonts w:ascii="Times New Roman" w:hAnsi="Times New Roman"/>
                <w:vertAlign w:val="superscript"/>
              </w:rPr>
              <w:t xml:space="preserve">th </w:t>
            </w:r>
            <w:r w:rsidRPr="000D24D4">
              <w:rPr>
                <w:rFonts w:ascii="Times New Roman" w:hAnsi="Times New Roman"/>
              </w:rPr>
              <w:t xml:space="preserve"> </w:t>
            </w:r>
            <w:r>
              <w:rPr>
                <w:rFonts w:ascii="Times New Roman" w:hAnsi="Times New Roman"/>
              </w:rPr>
              <w:t xml:space="preserve">percentile </w:t>
            </w:r>
            <w:r w:rsidRPr="000D24D4">
              <w:rPr>
                <w:rFonts w:ascii="Times New Roman" w:hAnsi="Times New Roman"/>
              </w:rPr>
              <w:t>weekly earnings percentile of covered workers in the eight South-central states plus  retail nationwide</w:t>
            </w:r>
          </w:p>
        </w:tc>
      </w:tr>
      <w:tr w:rsidR="00F70DF4" w:rsidTr="003F22AA">
        <w:trPr>
          <w:jc w:val="center"/>
        </w:trPr>
        <w:tc>
          <w:tcPr>
            <w:tcW w:w="2111" w:type="dxa"/>
          </w:tcPr>
          <w:p w:rsidR="00DC1D68" w:rsidRPr="000D24D4" w:rsidRDefault="002F0941" w:rsidP="003F22AA">
            <w:pPr>
              <w:spacing w:before="120" w:after="120" w:line="276" w:lineRule="auto"/>
              <w:jc w:val="right"/>
              <w:rPr>
                <w:rFonts w:ascii="Times New Roman" w:hAnsi="Times New Roman"/>
              </w:rPr>
            </w:pPr>
            <w:r w:rsidRPr="000D24D4">
              <w:rPr>
                <w:rFonts w:ascii="Times New Roman" w:hAnsi="Times New Roman"/>
              </w:rPr>
              <w:t>Weekly basis</w:t>
            </w:r>
          </w:p>
        </w:tc>
        <w:tc>
          <w:tcPr>
            <w:tcW w:w="2102" w:type="dxa"/>
          </w:tcPr>
          <w:p w:rsidR="00DC1D68" w:rsidRDefault="002F0941" w:rsidP="003F22AA">
            <w:pPr>
              <w:spacing w:before="120" w:after="120" w:line="276" w:lineRule="auto"/>
              <w:jc w:val="right"/>
              <w:rPr>
                <w:rFonts w:ascii="Times New Roman" w:hAnsi="Times New Roman"/>
              </w:rPr>
            </w:pPr>
            <w:r>
              <w:rPr>
                <w:rFonts w:ascii="Times New Roman" w:hAnsi="Times New Roman"/>
              </w:rPr>
              <w:t>N/A</w:t>
            </w:r>
          </w:p>
        </w:tc>
        <w:tc>
          <w:tcPr>
            <w:tcW w:w="2114" w:type="dxa"/>
          </w:tcPr>
          <w:p w:rsidR="00DC1D68" w:rsidRDefault="002F0941" w:rsidP="003F22AA">
            <w:pPr>
              <w:spacing w:before="120" w:after="120" w:line="276" w:lineRule="auto"/>
              <w:jc w:val="right"/>
              <w:rPr>
                <w:rFonts w:ascii="Times New Roman" w:hAnsi="Times New Roman"/>
              </w:rPr>
            </w:pPr>
            <w:r>
              <w:rPr>
                <w:rFonts w:ascii="Times New Roman" w:hAnsi="Times New Roman"/>
              </w:rPr>
              <w:t>N/A</w:t>
            </w:r>
          </w:p>
        </w:tc>
        <w:tc>
          <w:tcPr>
            <w:tcW w:w="2088" w:type="dxa"/>
          </w:tcPr>
          <w:p w:rsidR="00DC1D68" w:rsidRPr="000D24D4" w:rsidRDefault="002F0941" w:rsidP="003F22AA">
            <w:pPr>
              <w:spacing w:before="120" w:after="120"/>
              <w:jc w:val="right"/>
              <w:rPr>
                <w:rFonts w:ascii="Times New Roman" w:hAnsi="Times New Roman"/>
              </w:rPr>
            </w:pPr>
            <w:r w:rsidRPr="000D24D4">
              <w:rPr>
                <w:rFonts w:ascii="Times New Roman" w:hAnsi="Times New Roman"/>
              </w:rPr>
              <w:t>$2,347.57</w:t>
            </w:r>
          </w:p>
        </w:tc>
      </w:tr>
      <w:tr w:rsidR="00F70DF4" w:rsidTr="003F22AA">
        <w:trPr>
          <w:jc w:val="center"/>
        </w:trPr>
        <w:tc>
          <w:tcPr>
            <w:tcW w:w="2111" w:type="dxa"/>
          </w:tcPr>
          <w:p w:rsidR="00DC1D68" w:rsidRPr="000D24D4" w:rsidRDefault="002F0941" w:rsidP="003F22AA">
            <w:pPr>
              <w:spacing w:before="120" w:after="120"/>
              <w:jc w:val="right"/>
              <w:rPr>
                <w:rFonts w:ascii="Times New Roman" w:hAnsi="Times New Roman"/>
              </w:rPr>
            </w:pPr>
            <w:r w:rsidRPr="000D24D4">
              <w:rPr>
                <w:rFonts w:ascii="Times New Roman" w:hAnsi="Times New Roman"/>
              </w:rPr>
              <w:t xml:space="preserve">Annual </w:t>
            </w:r>
          </w:p>
        </w:tc>
        <w:tc>
          <w:tcPr>
            <w:tcW w:w="2102" w:type="dxa"/>
          </w:tcPr>
          <w:p w:rsidR="00DC1D68" w:rsidRDefault="002F0941" w:rsidP="003F22AA">
            <w:pPr>
              <w:spacing w:before="120" w:after="120" w:line="276" w:lineRule="auto"/>
              <w:jc w:val="right"/>
              <w:rPr>
                <w:rFonts w:ascii="Times New Roman" w:hAnsi="Times New Roman"/>
              </w:rPr>
            </w:pPr>
            <w:r>
              <w:rPr>
                <w:rFonts w:ascii="Times New Roman" w:hAnsi="Times New Roman"/>
              </w:rPr>
              <w:t>N/A</w:t>
            </w:r>
          </w:p>
        </w:tc>
        <w:tc>
          <w:tcPr>
            <w:tcW w:w="2114" w:type="dxa"/>
          </w:tcPr>
          <w:p w:rsidR="00DC1D68" w:rsidRDefault="002F0941" w:rsidP="003F22AA">
            <w:pPr>
              <w:spacing w:before="120" w:after="120" w:line="276" w:lineRule="auto"/>
              <w:jc w:val="right"/>
              <w:rPr>
                <w:rFonts w:ascii="Times New Roman" w:hAnsi="Times New Roman"/>
              </w:rPr>
            </w:pPr>
            <w:r>
              <w:rPr>
                <w:rFonts w:ascii="Times New Roman" w:hAnsi="Times New Roman"/>
              </w:rPr>
              <w:t>N/A</w:t>
            </w:r>
          </w:p>
        </w:tc>
        <w:tc>
          <w:tcPr>
            <w:tcW w:w="2088" w:type="dxa"/>
          </w:tcPr>
          <w:p w:rsidR="00DC1D68" w:rsidRDefault="002F0941" w:rsidP="003F22AA">
            <w:pPr>
              <w:spacing w:before="120" w:after="120" w:line="276" w:lineRule="auto"/>
              <w:jc w:val="right"/>
              <w:rPr>
                <w:rFonts w:ascii="Times New Roman" w:hAnsi="Times New Roman"/>
              </w:rPr>
            </w:pPr>
            <w:r w:rsidRPr="000D24D4">
              <w:rPr>
                <w:rFonts w:ascii="Times New Roman" w:hAnsi="Times New Roman"/>
              </w:rPr>
              <w:t>$122,073</w:t>
            </w:r>
          </w:p>
        </w:tc>
      </w:tr>
      <w:tr w:rsidR="00F70DF4" w:rsidTr="003F22AA">
        <w:trPr>
          <w:jc w:val="center"/>
        </w:trPr>
        <w:tc>
          <w:tcPr>
            <w:tcW w:w="8415" w:type="dxa"/>
            <w:gridSpan w:val="4"/>
          </w:tcPr>
          <w:p w:rsidR="00DC1D68" w:rsidRPr="00AD0FCB" w:rsidRDefault="002F0941" w:rsidP="003F22AA">
            <w:pPr>
              <w:rPr>
                <w:rFonts w:ascii="Times New Roman" w:hAnsi="Times New Roman"/>
                <w:sz w:val="24"/>
                <w:szCs w:val="24"/>
              </w:rPr>
            </w:pPr>
            <w:r w:rsidRPr="00AD0FCB">
              <w:rPr>
                <w:rFonts w:ascii="Times New Roman" w:hAnsi="Times New Roman"/>
                <w:sz w:val="24"/>
                <w:szCs w:val="24"/>
              </w:rPr>
              <w:t>The corrected 2017 20</w:t>
            </w:r>
            <w:r w:rsidRPr="00AD0FCB">
              <w:rPr>
                <w:rFonts w:ascii="Times New Roman" w:hAnsi="Times New Roman"/>
                <w:sz w:val="24"/>
                <w:szCs w:val="24"/>
                <w:vertAlign w:val="superscript"/>
              </w:rPr>
              <w:t>th</w:t>
            </w:r>
            <w:r w:rsidRPr="00AD0FCB">
              <w:rPr>
                <w:rFonts w:ascii="Times New Roman" w:hAnsi="Times New Roman"/>
                <w:sz w:val="24"/>
                <w:szCs w:val="24"/>
              </w:rPr>
              <w:t xml:space="preserve"> percentile benchmark reflects the change in the definition of South from the 16 States and DC applied by DOL in 2015 and 2019 to the eight states applied by DOL in 2004.  The corrected 90</w:t>
            </w:r>
            <w:r w:rsidRPr="00AD0FCB">
              <w:rPr>
                <w:rFonts w:ascii="Times New Roman" w:hAnsi="Times New Roman"/>
                <w:sz w:val="24"/>
                <w:szCs w:val="24"/>
                <w:vertAlign w:val="superscript"/>
              </w:rPr>
              <w:t>th</w:t>
            </w:r>
            <w:r w:rsidRPr="00AD0FCB">
              <w:rPr>
                <w:rFonts w:ascii="Times New Roman" w:hAnsi="Times New Roman"/>
                <w:sz w:val="24"/>
                <w:szCs w:val="24"/>
              </w:rPr>
              <w:t xml:space="preserve"> percentile (nationwide) reflects expansion of the potentially aff</w:t>
            </w:r>
            <w:r w:rsidRPr="00AD0FCB">
              <w:rPr>
                <w:rFonts w:ascii="Times New Roman" w:hAnsi="Times New Roman"/>
                <w:sz w:val="24"/>
                <w:szCs w:val="24"/>
              </w:rPr>
              <w:t xml:space="preserve">ected observations to include full-time salaried at all weekly earnings amounts. </w:t>
            </w:r>
          </w:p>
        </w:tc>
      </w:tr>
    </w:tbl>
    <w:p w:rsidR="00DC1D68" w:rsidRPr="000D24D4" w:rsidRDefault="002F0941" w:rsidP="00DC1D68">
      <w:pPr>
        <w:spacing w:after="200" w:line="276" w:lineRule="auto"/>
        <w:rPr>
          <w:rFonts w:ascii="Times New Roman" w:hAnsi="Times New Roman"/>
        </w:rPr>
      </w:pPr>
    </w:p>
    <w:p w:rsidR="00DC1D68" w:rsidRDefault="002F0941" w:rsidP="00DC1D68">
      <w:pPr>
        <w:spacing w:after="200" w:line="276" w:lineRule="auto"/>
        <w:rPr>
          <w:rFonts w:ascii="Times New Roman" w:hAnsi="Times New Roman"/>
        </w:rPr>
      </w:pPr>
      <w:r>
        <w:rPr>
          <w:rFonts w:ascii="Times New Roman" w:hAnsi="Times New Roman"/>
        </w:rPr>
        <w:br w:type="page"/>
      </w:r>
    </w:p>
    <w:p w:rsidR="00DC1D68" w:rsidRPr="001B5115" w:rsidRDefault="002F0941" w:rsidP="00DC1D68">
      <w:pPr>
        <w:spacing w:after="240" w:line="276" w:lineRule="auto"/>
        <w:ind w:firstLine="720"/>
        <w:jc w:val="center"/>
        <w:rPr>
          <w:rFonts w:ascii="Times New Roman" w:hAnsi="Times New Roman"/>
          <w:b/>
        </w:rPr>
      </w:pPr>
      <w:r w:rsidRPr="001B5115">
        <w:rPr>
          <w:rFonts w:ascii="Times New Roman" w:hAnsi="Times New Roman"/>
          <w:b/>
        </w:rPr>
        <w:lastRenderedPageBreak/>
        <w:t>Table 2</w:t>
      </w:r>
    </w:p>
    <w:p w:rsidR="00DC1D68" w:rsidRPr="001B5115" w:rsidRDefault="002F0941" w:rsidP="00DC1D68">
      <w:pPr>
        <w:spacing w:line="276" w:lineRule="auto"/>
        <w:ind w:firstLine="720"/>
        <w:jc w:val="center"/>
        <w:rPr>
          <w:rFonts w:ascii="Times New Roman" w:hAnsi="Times New Roman"/>
          <w:b/>
        </w:rPr>
      </w:pPr>
      <w:r w:rsidRPr="001B5115">
        <w:rPr>
          <w:rFonts w:ascii="Times New Roman" w:hAnsi="Times New Roman"/>
          <w:b/>
        </w:rPr>
        <w:t>Weekly Earnings of Full-time Non-Hourly Workers</w:t>
      </w:r>
    </w:p>
    <w:p w:rsidR="00DC1D68" w:rsidRDefault="002F0941" w:rsidP="00DC1D68">
      <w:pPr>
        <w:spacing w:after="360" w:line="276" w:lineRule="auto"/>
        <w:ind w:firstLine="720"/>
        <w:jc w:val="center"/>
        <w:rPr>
          <w:rFonts w:ascii="Times New Roman" w:hAnsi="Times New Roman"/>
          <w:b/>
        </w:rPr>
      </w:pPr>
      <w:r w:rsidRPr="001B5115">
        <w:rPr>
          <w:rFonts w:ascii="Times New Roman" w:hAnsi="Times New Roman"/>
          <w:b/>
        </w:rPr>
        <w:t>Potentially Covered by FLSA Part 541 EAP Exemptions</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966"/>
        <w:gridCol w:w="1966"/>
        <w:gridCol w:w="1966"/>
        <w:gridCol w:w="1970"/>
      </w:tblGrid>
      <w:tr w:rsidR="00F70DF4" w:rsidTr="003F22AA">
        <w:trPr>
          <w:trHeight w:val="641"/>
          <w:jc w:val="center"/>
        </w:trPr>
        <w:tc>
          <w:tcPr>
            <w:tcW w:w="15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hideMark/>
          </w:tcPr>
          <w:p w:rsidR="00DC1D68" w:rsidRPr="001B5115" w:rsidRDefault="002F0941" w:rsidP="003F22AA">
            <w:pPr>
              <w:spacing w:before="60" w:after="60"/>
              <w:rPr>
                <w:rFonts w:ascii="Times New Roman" w:hAnsi="Times New Roman"/>
                <w:b/>
                <w:color w:val="FFFFFF" w:themeColor="background1"/>
              </w:rPr>
            </w:pPr>
          </w:p>
        </w:tc>
        <w:tc>
          <w:tcPr>
            <w:tcW w:w="21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hideMark/>
          </w:tcPr>
          <w:p w:rsidR="00DC1D68" w:rsidRPr="001B5115" w:rsidRDefault="002F0941" w:rsidP="003F22AA">
            <w:pPr>
              <w:spacing w:before="60" w:after="60" w:line="276" w:lineRule="auto"/>
              <w:jc w:val="center"/>
              <w:rPr>
                <w:rFonts w:ascii="Times New Roman" w:hAnsi="Times New Roman"/>
                <w:b/>
                <w:color w:val="FFFFFF" w:themeColor="background1"/>
              </w:rPr>
            </w:pPr>
            <w:r w:rsidRPr="001B5115">
              <w:rPr>
                <w:rFonts w:ascii="Times New Roman" w:hAnsi="Times New Roman"/>
                <w:b/>
                <w:color w:val="FFFFFF" w:themeColor="background1"/>
              </w:rPr>
              <w:t>Nationwide</w:t>
            </w:r>
          </w:p>
        </w:tc>
        <w:tc>
          <w:tcPr>
            <w:tcW w:w="21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hideMark/>
          </w:tcPr>
          <w:p w:rsidR="00DC1D68" w:rsidRPr="001B5115" w:rsidRDefault="002F0941" w:rsidP="003F22AA">
            <w:pPr>
              <w:spacing w:before="60" w:after="60" w:line="276" w:lineRule="auto"/>
              <w:jc w:val="center"/>
              <w:rPr>
                <w:rFonts w:ascii="Times New Roman" w:hAnsi="Times New Roman"/>
                <w:b/>
                <w:color w:val="FFFFFF" w:themeColor="background1"/>
              </w:rPr>
            </w:pPr>
            <w:r w:rsidRPr="001B5115">
              <w:rPr>
                <w:rFonts w:ascii="Times New Roman" w:hAnsi="Times New Roman"/>
                <w:b/>
                <w:color w:val="FFFFFF" w:themeColor="background1"/>
              </w:rPr>
              <w:t>South + Retail</w:t>
            </w:r>
          </w:p>
        </w:tc>
        <w:tc>
          <w:tcPr>
            <w:tcW w:w="21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hideMark/>
          </w:tcPr>
          <w:p w:rsidR="00DC1D68" w:rsidRPr="001B5115" w:rsidRDefault="002F0941" w:rsidP="003F22AA">
            <w:pPr>
              <w:spacing w:before="60" w:after="60" w:line="276" w:lineRule="auto"/>
              <w:jc w:val="center"/>
              <w:rPr>
                <w:rFonts w:ascii="Times New Roman" w:hAnsi="Times New Roman"/>
                <w:b/>
                <w:color w:val="FFFFFF" w:themeColor="background1"/>
              </w:rPr>
            </w:pPr>
            <w:r w:rsidRPr="001B5115">
              <w:rPr>
                <w:rFonts w:ascii="Times New Roman" w:hAnsi="Times New Roman"/>
                <w:b/>
                <w:color w:val="FFFFFF" w:themeColor="background1"/>
              </w:rPr>
              <w:t>South-Central + Retail</w:t>
            </w:r>
          </w:p>
        </w:tc>
        <w:tc>
          <w:tcPr>
            <w:tcW w:w="2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546A" w:themeFill="text2"/>
            <w:vAlign w:val="center"/>
            <w:hideMark/>
          </w:tcPr>
          <w:p w:rsidR="00DC1D68" w:rsidRPr="001B5115" w:rsidRDefault="002F0941" w:rsidP="003F22AA">
            <w:pPr>
              <w:spacing w:before="60" w:after="60" w:line="276" w:lineRule="auto"/>
              <w:jc w:val="center"/>
              <w:rPr>
                <w:rFonts w:ascii="Times New Roman" w:hAnsi="Times New Roman"/>
                <w:b/>
                <w:color w:val="FFFFFF" w:themeColor="background1"/>
              </w:rPr>
            </w:pPr>
            <w:r w:rsidRPr="001B5115">
              <w:rPr>
                <w:rFonts w:ascii="Times New Roman" w:hAnsi="Times New Roman"/>
                <w:b/>
                <w:color w:val="FFFFFF" w:themeColor="background1"/>
              </w:rPr>
              <w:t xml:space="preserve">Ten Lowest States </w:t>
            </w:r>
          </w:p>
        </w:tc>
      </w:tr>
      <w:tr w:rsidR="00F70DF4" w:rsidTr="003F22AA">
        <w:trPr>
          <w:trHeight w:val="319"/>
          <w:jc w:val="center"/>
        </w:trPr>
        <w:tc>
          <w:tcPr>
            <w:tcW w:w="1589" w:type="dxa"/>
            <w:tcBorders>
              <w:top w:val="single" w:sz="4" w:space="0" w:color="FFFFFF" w:themeColor="background1"/>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Number of employees in tabulation group</w:t>
            </w:r>
          </w:p>
        </w:tc>
        <w:tc>
          <w:tcPr>
            <w:tcW w:w="2113" w:type="dxa"/>
            <w:tcBorders>
              <w:top w:val="single" w:sz="4" w:space="0" w:color="FFFFFF" w:themeColor="background1"/>
              <w:left w:val="single" w:sz="4" w:space="0" w:color="auto"/>
              <w:bottom w:val="single" w:sz="4" w:space="0" w:color="auto"/>
              <w:right w:val="single" w:sz="4" w:space="0" w:color="auto"/>
            </w:tcBorders>
            <w:noWrap/>
            <w:vAlign w:val="center"/>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39,509,544 </w:t>
            </w:r>
          </w:p>
        </w:tc>
        <w:tc>
          <w:tcPr>
            <w:tcW w:w="2113" w:type="dxa"/>
            <w:tcBorders>
              <w:top w:val="single" w:sz="4" w:space="0" w:color="FFFFFF" w:themeColor="background1"/>
              <w:left w:val="single" w:sz="4" w:space="0" w:color="auto"/>
              <w:bottom w:val="single" w:sz="4" w:space="0" w:color="auto"/>
              <w:right w:val="single" w:sz="4" w:space="0" w:color="auto"/>
            </w:tcBorders>
            <w:noWrap/>
            <w:vAlign w:val="center"/>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17,117,942 </w:t>
            </w:r>
          </w:p>
        </w:tc>
        <w:tc>
          <w:tcPr>
            <w:tcW w:w="2113" w:type="dxa"/>
            <w:tcBorders>
              <w:top w:val="single" w:sz="4" w:space="0" w:color="FFFFFF" w:themeColor="background1"/>
              <w:left w:val="single" w:sz="4" w:space="0" w:color="auto"/>
              <w:bottom w:val="single" w:sz="4" w:space="0" w:color="auto"/>
              <w:right w:val="single" w:sz="4" w:space="0" w:color="auto"/>
            </w:tcBorders>
            <w:noWrap/>
            <w:vAlign w:val="center"/>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9,599,832 </w:t>
            </w:r>
          </w:p>
        </w:tc>
        <w:tc>
          <w:tcPr>
            <w:tcW w:w="2117" w:type="dxa"/>
            <w:tcBorders>
              <w:top w:val="single" w:sz="4" w:space="0" w:color="FFFFFF" w:themeColor="background1"/>
              <w:left w:val="single" w:sz="4" w:space="0" w:color="auto"/>
              <w:bottom w:val="single" w:sz="4" w:space="0" w:color="auto"/>
              <w:right w:val="single" w:sz="4" w:space="0" w:color="auto"/>
            </w:tcBorders>
            <w:noWrap/>
            <w:vAlign w:val="center"/>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6,066,471 </w:t>
            </w:r>
          </w:p>
        </w:tc>
      </w:tr>
      <w:tr w:rsidR="00F70DF4" w:rsidTr="003F22AA">
        <w:trPr>
          <w:trHeight w:val="319"/>
          <w:jc w:val="center"/>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Mean</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1,325.43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1,238.25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1,215.57 </w:t>
            </w:r>
          </w:p>
        </w:tc>
        <w:tc>
          <w:tcPr>
            <w:tcW w:w="2117"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1,177.49 </w:t>
            </w:r>
          </w:p>
        </w:tc>
      </w:tr>
      <w:tr w:rsidR="00F70DF4" w:rsidTr="003F22AA">
        <w:trPr>
          <w:trHeight w:val="319"/>
          <w:jc w:val="center"/>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Median</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1,153.84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1,036.61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1,017.28 </w:t>
            </w:r>
          </w:p>
        </w:tc>
        <w:tc>
          <w:tcPr>
            <w:tcW w:w="2117"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985.69 </w:t>
            </w:r>
          </w:p>
        </w:tc>
      </w:tr>
      <w:tr w:rsidR="00F70DF4" w:rsidTr="003F22AA">
        <w:trPr>
          <w:trHeight w:val="319"/>
          <w:jc w:val="center"/>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Minimum</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0.01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0.01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0.01 </w:t>
            </w:r>
          </w:p>
        </w:tc>
        <w:tc>
          <w:tcPr>
            <w:tcW w:w="2117"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0.01 </w:t>
            </w:r>
          </w:p>
        </w:tc>
      </w:tr>
      <w:tr w:rsidR="00F70DF4" w:rsidTr="003F22AA">
        <w:trPr>
          <w:trHeight w:val="319"/>
          <w:jc w:val="center"/>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Maximum</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2,958.73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2,958.73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2,958.73 </w:t>
            </w:r>
          </w:p>
        </w:tc>
        <w:tc>
          <w:tcPr>
            <w:tcW w:w="2117"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2,958.73 </w:t>
            </w:r>
          </w:p>
        </w:tc>
      </w:tr>
      <w:tr w:rsidR="00F70DF4" w:rsidTr="003F22AA">
        <w:trPr>
          <w:trHeight w:val="319"/>
          <w:jc w:val="center"/>
        </w:trPr>
        <w:tc>
          <w:tcPr>
            <w:tcW w:w="10045"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Percentile cut points:  The indicated percentage of workers have weekly earnings less or equal to --</w:t>
            </w:r>
          </w:p>
        </w:tc>
      </w:tr>
      <w:tr w:rsidR="00F70DF4" w:rsidTr="003F22AA">
        <w:trPr>
          <w:trHeight w:val="319"/>
          <w:jc w:val="center"/>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jc w:val="center"/>
              <w:rPr>
                <w:rFonts w:ascii="Times New Roman" w:hAnsi="Times New Roman"/>
                <w:color w:val="000000"/>
              </w:rPr>
            </w:pPr>
            <w:r w:rsidRPr="001B5115">
              <w:rPr>
                <w:rFonts w:ascii="Times New Roman" w:hAnsi="Times New Roman"/>
                <w:color w:val="000000"/>
              </w:rPr>
              <w:t>10</w:t>
            </w:r>
            <w:r w:rsidRPr="001B5115">
              <w:rPr>
                <w:rFonts w:ascii="Times New Roman" w:hAnsi="Times New Roman"/>
                <w:color w:val="000000"/>
                <w:vertAlign w:val="superscript"/>
              </w:rPr>
              <w:t>th</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512.85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487.20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480.00 </w:t>
            </w:r>
          </w:p>
        </w:tc>
        <w:tc>
          <w:tcPr>
            <w:tcW w:w="2117"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461.56 </w:t>
            </w:r>
          </w:p>
        </w:tc>
      </w:tr>
      <w:tr w:rsidR="00F70DF4" w:rsidTr="003F22AA">
        <w:trPr>
          <w:trHeight w:val="319"/>
          <w:jc w:val="center"/>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jc w:val="center"/>
              <w:rPr>
                <w:rFonts w:ascii="Times New Roman" w:hAnsi="Times New Roman"/>
                <w:color w:val="000000"/>
              </w:rPr>
            </w:pPr>
            <w:r w:rsidRPr="001B5115">
              <w:rPr>
                <w:rFonts w:ascii="Times New Roman" w:hAnsi="Times New Roman"/>
                <w:color w:val="000000"/>
              </w:rPr>
              <w:t>20</w:t>
            </w:r>
            <w:r w:rsidRPr="001B5115">
              <w:rPr>
                <w:rFonts w:ascii="Times New Roman" w:hAnsi="Times New Roman"/>
                <w:color w:val="000000"/>
                <w:vertAlign w:val="superscript"/>
              </w:rPr>
              <w:t>th</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692.30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630.80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615.42 </w:t>
            </w:r>
          </w:p>
        </w:tc>
        <w:tc>
          <w:tcPr>
            <w:tcW w:w="2117"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600.00 </w:t>
            </w:r>
          </w:p>
        </w:tc>
      </w:tr>
      <w:tr w:rsidR="00F70DF4" w:rsidTr="003F22AA">
        <w:trPr>
          <w:trHeight w:val="319"/>
          <w:jc w:val="center"/>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jc w:val="center"/>
              <w:rPr>
                <w:rFonts w:ascii="Times New Roman" w:hAnsi="Times New Roman"/>
                <w:color w:val="000000"/>
              </w:rPr>
            </w:pPr>
            <w:r w:rsidRPr="001B5115">
              <w:rPr>
                <w:rFonts w:ascii="Times New Roman" w:hAnsi="Times New Roman"/>
                <w:color w:val="000000"/>
              </w:rPr>
              <w:t>40</w:t>
            </w:r>
            <w:r w:rsidRPr="001B5115">
              <w:rPr>
                <w:rFonts w:ascii="Times New Roman" w:hAnsi="Times New Roman"/>
                <w:color w:val="000000"/>
                <w:vertAlign w:val="superscript"/>
              </w:rPr>
              <w:t>th</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985.69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903.00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887.23 </w:t>
            </w:r>
          </w:p>
        </w:tc>
        <w:tc>
          <w:tcPr>
            <w:tcW w:w="2117"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865.00 </w:t>
            </w:r>
          </w:p>
        </w:tc>
      </w:tr>
      <w:tr w:rsidR="00F70DF4" w:rsidTr="003F22AA">
        <w:trPr>
          <w:trHeight w:val="319"/>
          <w:jc w:val="center"/>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jc w:val="center"/>
              <w:rPr>
                <w:rFonts w:ascii="Times New Roman" w:hAnsi="Times New Roman"/>
                <w:color w:val="000000"/>
              </w:rPr>
            </w:pPr>
            <w:r w:rsidRPr="001B5115">
              <w:rPr>
                <w:rFonts w:ascii="Times New Roman" w:hAnsi="Times New Roman"/>
                <w:color w:val="000000"/>
              </w:rPr>
              <w:t>75</w:t>
            </w:r>
            <w:r w:rsidRPr="001B5115">
              <w:rPr>
                <w:rFonts w:ascii="Times New Roman" w:hAnsi="Times New Roman"/>
                <w:color w:val="000000"/>
                <w:vertAlign w:val="superscript"/>
              </w:rPr>
              <w:t>th</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1,759.89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1,577.99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1,564.58 </w:t>
            </w:r>
          </w:p>
        </w:tc>
        <w:tc>
          <w:tcPr>
            <w:tcW w:w="2117"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1,500.00 </w:t>
            </w:r>
          </w:p>
        </w:tc>
      </w:tr>
      <w:tr w:rsidR="00F70DF4" w:rsidTr="003F22AA">
        <w:trPr>
          <w:trHeight w:val="319"/>
          <w:jc w:val="center"/>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jc w:val="center"/>
              <w:rPr>
                <w:rFonts w:ascii="Times New Roman" w:hAnsi="Times New Roman"/>
                <w:color w:val="000000"/>
              </w:rPr>
            </w:pPr>
            <w:r w:rsidRPr="001B5115">
              <w:rPr>
                <w:rFonts w:ascii="Times New Roman" w:hAnsi="Times New Roman"/>
                <w:color w:val="000000"/>
              </w:rPr>
              <w:t>80</w:t>
            </w:r>
            <w:r w:rsidRPr="001B5115">
              <w:rPr>
                <w:rFonts w:ascii="Times New Roman" w:hAnsi="Times New Roman"/>
                <w:color w:val="000000"/>
                <w:vertAlign w:val="superscript"/>
              </w:rPr>
              <w:t>th</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1,956.23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1,799.57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1,760.67 </w:t>
            </w:r>
          </w:p>
        </w:tc>
        <w:tc>
          <w:tcPr>
            <w:tcW w:w="2117"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1,675.98 </w:t>
            </w:r>
          </w:p>
        </w:tc>
      </w:tr>
      <w:tr w:rsidR="00F70DF4" w:rsidTr="003F22AA">
        <w:trPr>
          <w:trHeight w:val="319"/>
          <w:jc w:val="center"/>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jc w:val="center"/>
              <w:rPr>
                <w:rFonts w:ascii="Times New Roman" w:hAnsi="Times New Roman"/>
                <w:color w:val="000000"/>
              </w:rPr>
            </w:pPr>
            <w:r w:rsidRPr="001B5115">
              <w:rPr>
                <w:rFonts w:ascii="Times New Roman" w:hAnsi="Times New Roman"/>
                <w:color w:val="000000"/>
              </w:rPr>
              <w:t>Annual equivalent</w:t>
            </w:r>
          </w:p>
        </w:tc>
        <w:tc>
          <w:tcPr>
            <w:tcW w:w="2113" w:type="dxa"/>
            <w:tcBorders>
              <w:top w:val="single" w:sz="4" w:space="0" w:color="auto"/>
              <w:left w:val="nil"/>
              <w:bottom w:val="single" w:sz="4" w:space="0" w:color="auto"/>
              <w:right w:val="single" w:sz="4" w:space="0" w:color="auto"/>
            </w:tcBorders>
            <w:noWrap/>
            <w:vAlign w:val="center"/>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101,723.93 </w:t>
            </w:r>
          </w:p>
        </w:tc>
        <w:tc>
          <w:tcPr>
            <w:tcW w:w="2113" w:type="dxa"/>
            <w:tcBorders>
              <w:top w:val="single" w:sz="4" w:space="0" w:color="auto"/>
              <w:left w:val="single" w:sz="4" w:space="0" w:color="auto"/>
              <w:bottom w:val="single" w:sz="4" w:space="0" w:color="auto"/>
              <w:right w:val="single" w:sz="4" w:space="0" w:color="auto"/>
            </w:tcBorders>
            <w:noWrap/>
            <w:vAlign w:val="center"/>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93,577.55 </w:t>
            </w:r>
          </w:p>
        </w:tc>
        <w:tc>
          <w:tcPr>
            <w:tcW w:w="2113" w:type="dxa"/>
            <w:tcBorders>
              <w:top w:val="single" w:sz="4" w:space="0" w:color="auto"/>
              <w:left w:val="single" w:sz="4" w:space="0" w:color="auto"/>
              <w:bottom w:val="single" w:sz="4" w:space="0" w:color="auto"/>
              <w:right w:val="single" w:sz="4" w:space="0" w:color="auto"/>
            </w:tcBorders>
            <w:noWrap/>
            <w:vAlign w:val="center"/>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91,554.71 </w:t>
            </w:r>
          </w:p>
        </w:tc>
        <w:tc>
          <w:tcPr>
            <w:tcW w:w="2117" w:type="dxa"/>
            <w:tcBorders>
              <w:top w:val="single" w:sz="4" w:space="0" w:color="auto"/>
              <w:left w:val="single" w:sz="4" w:space="0" w:color="auto"/>
              <w:bottom w:val="single" w:sz="4" w:space="0" w:color="auto"/>
              <w:right w:val="single" w:sz="4" w:space="0" w:color="auto"/>
            </w:tcBorders>
            <w:noWrap/>
            <w:vAlign w:val="center"/>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87,151.17 </w:t>
            </w:r>
          </w:p>
        </w:tc>
      </w:tr>
      <w:tr w:rsidR="00F70DF4" w:rsidTr="003F22AA">
        <w:trPr>
          <w:trHeight w:val="319"/>
          <w:jc w:val="center"/>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jc w:val="center"/>
              <w:rPr>
                <w:rFonts w:ascii="Times New Roman" w:hAnsi="Times New Roman"/>
                <w:color w:val="000000"/>
              </w:rPr>
            </w:pPr>
            <w:r w:rsidRPr="001B5115">
              <w:rPr>
                <w:rFonts w:ascii="Times New Roman" w:hAnsi="Times New Roman"/>
                <w:color w:val="000000"/>
              </w:rPr>
              <w:t>90</w:t>
            </w:r>
            <w:r w:rsidRPr="001B5115">
              <w:rPr>
                <w:rFonts w:ascii="Times New Roman" w:hAnsi="Times New Roman"/>
                <w:color w:val="000000"/>
                <w:vertAlign w:val="superscript"/>
              </w:rPr>
              <w:t>th</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2,564.24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2,406.25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2,347.57 </w:t>
            </w:r>
          </w:p>
        </w:tc>
        <w:tc>
          <w:tcPr>
            <w:tcW w:w="2117"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2,307.00 </w:t>
            </w:r>
          </w:p>
        </w:tc>
      </w:tr>
      <w:tr w:rsidR="00F70DF4" w:rsidTr="003F22AA">
        <w:trPr>
          <w:trHeight w:val="319"/>
          <w:jc w:val="center"/>
        </w:trPr>
        <w:tc>
          <w:tcPr>
            <w:tcW w:w="1589"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jc w:val="center"/>
              <w:rPr>
                <w:rFonts w:ascii="Times New Roman" w:hAnsi="Times New Roman"/>
                <w:color w:val="000000"/>
              </w:rPr>
            </w:pPr>
            <w:r w:rsidRPr="001B5115">
              <w:rPr>
                <w:rFonts w:ascii="Times New Roman" w:hAnsi="Times New Roman"/>
                <w:color w:val="000000"/>
              </w:rPr>
              <w:t>Annual equivalent</w:t>
            </w:r>
          </w:p>
        </w:tc>
        <w:tc>
          <w:tcPr>
            <w:tcW w:w="2113" w:type="dxa"/>
            <w:tcBorders>
              <w:top w:val="single" w:sz="4" w:space="0" w:color="auto"/>
              <w:left w:val="nil"/>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133,340.22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125,125.20 </w:t>
            </w:r>
          </w:p>
        </w:tc>
        <w:tc>
          <w:tcPr>
            <w:tcW w:w="2113"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122,073.48 </w:t>
            </w:r>
          </w:p>
        </w:tc>
        <w:tc>
          <w:tcPr>
            <w:tcW w:w="2117" w:type="dxa"/>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 xml:space="preserve"> $      119,964.00 </w:t>
            </w:r>
          </w:p>
        </w:tc>
      </w:tr>
      <w:tr w:rsidR="00F70DF4" w:rsidTr="003F22AA">
        <w:trPr>
          <w:trHeight w:val="319"/>
          <w:jc w:val="center"/>
        </w:trPr>
        <w:tc>
          <w:tcPr>
            <w:tcW w:w="10045" w:type="dxa"/>
            <w:gridSpan w:val="5"/>
            <w:tcBorders>
              <w:top w:val="single" w:sz="4" w:space="0" w:color="auto"/>
              <w:left w:val="single" w:sz="4" w:space="0" w:color="auto"/>
              <w:bottom w:val="single" w:sz="4" w:space="0" w:color="auto"/>
              <w:right w:val="single" w:sz="4" w:space="0" w:color="auto"/>
            </w:tcBorders>
            <w:noWrap/>
            <w:vAlign w:val="bottom"/>
            <w:hideMark/>
          </w:tcPr>
          <w:p w:rsidR="00DC1D68" w:rsidRPr="001B5115" w:rsidRDefault="002F0941" w:rsidP="003F22AA">
            <w:pPr>
              <w:spacing w:before="60" w:after="60" w:line="276" w:lineRule="auto"/>
              <w:rPr>
                <w:rFonts w:ascii="Times New Roman" w:hAnsi="Times New Roman"/>
                <w:color w:val="000000"/>
              </w:rPr>
            </w:pPr>
            <w:r w:rsidRPr="001B5115">
              <w:rPr>
                <w:rFonts w:ascii="Times New Roman" w:hAnsi="Times New Roman"/>
                <w:color w:val="000000"/>
              </w:rPr>
              <w:t>2015-2017 CPS MORG data, earning adjusted to 2017 dollars.  Weighting adjusted to 2017 U.S. population benchmark.  Workers paid on an hourly rate basis, workers not covered by FLSA, and workers subject to possible exemption under another FLSA regulation or</w:t>
            </w:r>
            <w:r w:rsidRPr="001B5115">
              <w:rPr>
                <w:rFonts w:ascii="Times New Roman" w:hAnsi="Times New Roman"/>
                <w:color w:val="000000"/>
              </w:rPr>
              <w:t xml:space="preserve"> in a named occupation exemption were removed.  </w:t>
            </w:r>
          </w:p>
        </w:tc>
      </w:tr>
    </w:tbl>
    <w:p w:rsidR="00DC1D68" w:rsidRPr="00DC1D68" w:rsidRDefault="002F0941" w:rsidP="00DC1D68"/>
    <w:sectPr w:rsidR="00DC1D68" w:rsidRPr="00DC1D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0941">
      <w:pPr>
        <w:spacing w:after="0" w:line="240" w:lineRule="auto"/>
      </w:pPr>
      <w:r>
        <w:separator/>
      </w:r>
    </w:p>
  </w:endnote>
  <w:endnote w:type="continuationSeparator" w:id="0">
    <w:p w:rsidR="00000000" w:rsidRDefault="002F0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29" w:rsidRDefault="002F0941" w:rsidP="00BE6F29">
      <w:pPr>
        <w:spacing w:after="0" w:line="240" w:lineRule="auto"/>
      </w:pPr>
      <w:r>
        <w:separator/>
      </w:r>
    </w:p>
  </w:footnote>
  <w:footnote w:type="continuationSeparator" w:id="0">
    <w:p w:rsidR="00BE6F29" w:rsidRDefault="002F0941" w:rsidP="00BE6F29">
      <w:pPr>
        <w:spacing w:after="0" w:line="240" w:lineRule="auto"/>
      </w:pPr>
      <w:r>
        <w:continuationSeparator/>
      </w:r>
    </w:p>
  </w:footnote>
  <w:footnote w:id="1">
    <w:p w:rsidR="00DC1D68" w:rsidRPr="00C2107F" w:rsidRDefault="002F0941" w:rsidP="00DC1D68">
      <w:pPr>
        <w:pStyle w:val="FootnoteText"/>
      </w:pPr>
      <w:r>
        <w:rPr>
          <w:rStyle w:val="FootnoteReference"/>
        </w:rPr>
        <w:footnoteRef/>
      </w:r>
      <w:r>
        <w:t xml:space="preserve"> For the final regulations, the Department should u</w:t>
      </w:r>
      <w:r w:rsidRPr="0051719F">
        <w:t xml:space="preserve">se actual CPS MORG data for 2018 (12 months) and January to June 2019 to calculate updates of </w:t>
      </w:r>
      <w:r>
        <w:t xml:space="preserve">the Chamber’s corrected minimum salary and highly compensated salary levels, without any </w:t>
      </w:r>
      <w:r w:rsidRPr="0051719F">
        <w:t>speculative projections.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8BE"/>
    <w:multiLevelType w:val="hybridMultilevel"/>
    <w:tmpl w:val="3D7E8AA4"/>
    <w:lvl w:ilvl="0" w:tplc="110AF5FC">
      <w:start w:val="1"/>
      <w:numFmt w:val="bullet"/>
      <w:lvlText w:val=""/>
      <w:lvlJc w:val="left"/>
      <w:pPr>
        <w:ind w:left="360" w:hanging="360"/>
      </w:pPr>
      <w:rPr>
        <w:rFonts w:ascii="Symbol" w:hAnsi="Symbol" w:hint="default"/>
      </w:rPr>
    </w:lvl>
    <w:lvl w:ilvl="1" w:tplc="7A9C3602">
      <w:start w:val="1"/>
      <w:numFmt w:val="bullet"/>
      <w:lvlText w:val="o"/>
      <w:lvlJc w:val="left"/>
      <w:pPr>
        <w:ind w:left="1080" w:hanging="360"/>
      </w:pPr>
      <w:rPr>
        <w:rFonts w:ascii="Courier New" w:hAnsi="Courier New" w:cs="Courier New" w:hint="default"/>
      </w:rPr>
    </w:lvl>
    <w:lvl w:ilvl="2" w:tplc="714042FC">
      <w:start w:val="1"/>
      <w:numFmt w:val="bullet"/>
      <w:lvlText w:val=""/>
      <w:lvlJc w:val="left"/>
      <w:pPr>
        <w:ind w:left="1800" w:hanging="360"/>
      </w:pPr>
      <w:rPr>
        <w:rFonts w:ascii="Wingdings" w:hAnsi="Wingdings" w:hint="default"/>
      </w:rPr>
    </w:lvl>
    <w:lvl w:ilvl="3" w:tplc="52A4CAF6" w:tentative="1">
      <w:start w:val="1"/>
      <w:numFmt w:val="bullet"/>
      <w:lvlText w:val=""/>
      <w:lvlJc w:val="left"/>
      <w:pPr>
        <w:ind w:left="2520" w:hanging="360"/>
      </w:pPr>
      <w:rPr>
        <w:rFonts w:ascii="Symbol" w:hAnsi="Symbol" w:hint="default"/>
      </w:rPr>
    </w:lvl>
    <w:lvl w:ilvl="4" w:tplc="CB2AC9D8" w:tentative="1">
      <w:start w:val="1"/>
      <w:numFmt w:val="bullet"/>
      <w:lvlText w:val="o"/>
      <w:lvlJc w:val="left"/>
      <w:pPr>
        <w:ind w:left="3240" w:hanging="360"/>
      </w:pPr>
      <w:rPr>
        <w:rFonts w:ascii="Courier New" w:hAnsi="Courier New" w:cs="Courier New" w:hint="default"/>
      </w:rPr>
    </w:lvl>
    <w:lvl w:ilvl="5" w:tplc="E2A2DC46" w:tentative="1">
      <w:start w:val="1"/>
      <w:numFmt w:val="bullet"/>
      <w:lvlText w:val=""/>
      <w:lvlJc w:val="left"/>
      <w:pPr>
        <w:ind w:left="3960" w:hanging="360"/>
      </w:pPr>
      <w:rPr>
        <w:rFonts w:ascii="Wingdings" w:hAnsi="Wingdings" w:hint="default"/>
      </w:rPr>
    </w:lvl>
    <w:lvl w:ilvl="6" w:tplc="F94C887A" w:tentative="1">
      <w:start w:val="1"/>
      <w:numFmt w:val="bullet"/>
      <w:lvlText w:val=""/>
      <w:lvlJc w:val="left"/>
      <w:pPr>
        <w:ind w:left="4680" w:hanging="360"/>
      </w:pPr>
      <w:rPr>
        <w:rFonts w:ascii="Symbol" w:hAnsi="Symbol" w:hint="default"/>
      </w:rPr>
    </w:lvl>
    <w:lvl w:ilvl="7" w:tplc="54B874C0" w:tentative="1">
      <w:start w:val="1"/>
      <w:numFmt w:val="bullet"/>
      <w:lvlText w:val="o"/>
      <w:lvlJc w:val="left"/>
      <w:pPr>
        <w:ind w:left="5400" w:hanging="360"/>
      </w:pPr>
      <w:rPr>
        <w:rFonts w:ascii="Courier New" w:hAnsi="Courier New" w:cs="Courier New" w:hint="default"/>
      </w:rPr>
    </w:lvl>
    <w:lvl w:ilvl="8" w:tplc="889A0CFA" w:tentative="1">
      <w:start w:val="1"/>
      <w:numFmt w:val="bullet"/>
      <w:lvlText w:val=""/>
      <w:lvlJc w:val="left"/>
      <w:pPr>
        <w:ind w:left="6120" w:hanging="360"/>
      </w:pPr>
      <w:rPr>
        <w:rFonts w:ascii="Wingdings" w:hAnsi="Wingdings" w:hint="default"/>
      </w:rPr>
    </w:lvl>
  </w:abstractNum>
  <w:abstractNum w:abstractNumId="1" w15:restartNumberingAfterBreak="0">
    <w:nsid w:val="2D5E268B"/>
    <w:multiLevelType w:val="hybridMultilevel"/>
    <w:tmpl w:val="BF081018"/>
    <w:lvl w:ilvl="0" w:tplc="81FE5938">
      <w:start w:val="1"/>
      <w:numFmt w:val="bullet"/>
      <w:lvlText w:val=""/>
      <w:lvlJc w:val="left"/>
      <w:pPr>
        <w:ind w:left="720" w:hanging="360"/>
      </w:pPr>
      <w:rPr>
        <w:rFonts w:ascii="Symbol" w:hAnsi="Symbol" w:hint="default"/>
      </w:rPr>
    </w:lvl>
    <w:lvl w:ilvl="1" w:tplc="24A41F62" w:tentative="1">
      <w:start w:val="1"/>
      <w:numFmt w:val="bullet"/>
      <w:lvlText w:val="o"/>
      <w:lvlJc w:val="left"/>
      <w:pPr>
        <w:ind w:left="1440" w:hanging="360"/>
      </w:pPr>
      <w:rPr>
        <w:rFonts w:ascii="Courier New" w:hAnsi="Courier New" w:cs="Courier New" w:hint="default"/>
      </w:rPr>
    </w:lvl>
    <w:lvl w:ilvl="2" w:tplc="4BD0E9B8" w:tentative="1">
      <w:start w:val="1"/>
      <w:numFmt w:val="bullet"/>
      <w:lvlText w:val=""/>
      <w:lvlJc w:val="left"/>
      <w:pPr>
        <w:ind w:left="2160" w:hanging="360"/>
      </w:pPr>
      <w:rPr>
        <w:rFonts w:ascii="Wingdings" w:hAnsi="Wingdings" w:hint="default"/>
      </w:rPr>
    </w:lvl>
    <w:lvl w:ilvl="3" w:tplc="F200886E" w:tentative="1">
      <w:start w:val="1"/>
      <w:numFmt w:val="bullet"/>
      <w:lvlText w:val=""/>
      <w:lvlJc w:val="left"/>
      <w:pPr>
        <w:ind w:left="2880" w:hanging="360"/>
      </w:pPr>
      <w:rPr>
        <w:rFonts w:ascii="Symbol" w:hAnsi="Symbol" w:hint="default"/>
      </w:rPr>
    </w:lvl>
    <w:lvl w:ilvl="4" w:tplc="5E8A6104" w:tentative="1">
      <w:start w:val="1"/>
      <w:numFmt w:val="bullet"/>
      <w:lvlText w:val="o"/>
      <w:lvlJc w:val="left"/>
      <w:pPr>
        <w:ind w:left="3600" w:hanging="360"/>
      </w:pPr>
      <w:rPr>
        <w:rFonts w:ascii="Courier New" w:hAnsi="Courier New" w:cs="Courier New" w:hint="default"/>
      </w:rPr>
    </w:lvl>
    <w:lvl w:ilvl="5" w:tplc="4AD2DBA8" w:tentative="1">
      <w:start w:val="1"/>
      <w:numFmt w:val="bullet"/>
      <w:lvlText w:val=""/>
      <w:lvlJc w:val="left"/>
      <w:pPr>
        <w:ind w:left="4320" w:hanging="360"/>
      </w:pPr>
      <w:rPr>
        <w:rFonts w:ascii="Wingdings" w:hAnsi="Wingdings" w:hint="default"/>
      </w:rPr>
    </w:lvl>
    <w:lvl w:ilvl="6" w:tplc="3DDA3428" w:tentative="1">
      <w:start w:val="1"/>
      <w:numFmt w:val="bullet"/>
      <w:lvlText w:val=""/>
      <w:lvlJc w:val="left"/>
      <w:pPr>
        <w:ind w:left="5040" w:hanging="360"/>
      </w:pPr>
      <w:rPr>
        <w:rFonts w:ascii="Symbol" w:hAnsi="Symbol" w:hint="default"/>
      </w:rPr>
    </w:lvl>
    <w:lvl w:ilvl="7" w:tplc="318E7E08" w:tentative="1">
      <w:start w:val="1"/>
      <w:numFmt w:val="bullet"/>
      <w:lvlText w:val="o"/>
      <w:lvlJc w:val="left"/>
      <w:pPr>
        <w:ind w:left="5760" w:hanging="360"/>
      </w:pPr>
      <w:rPr>
        <w:rFonts w:ascii="Courier New" w:hAnsi="Courier New" w:cs="Courier New" w:hint="default"/>
      </w:rPr>
    </w:lvl>
    <w:lvl w:ilvl="8" w:tplc="61789402" w:tentative="1">
      <w:start w:val="1"/>
      <w:numFmt w:val="bullet"/>
      <w:lvlText w:val=""/>
      <w:lvlJc w:val="left"/>
      <w:pPr>
        <w:ind w:left="6480" w:hanging="360"/>
      </w:pPr>
      <w:rPr>
        <w:rFonts w:ascii="Wingdings" w:hAnsi="Wingdings" w:hint="default"/>
      </w:rPr>
    </w:lvl>
  </w:abstractNum>
  <w:abstractNum w:abstractNumId="2" w15:restartNumberingAfterBreak="0">
    <w:nsid w:val="4C017D01"/>
    <w:multiLevelType w:val="hybridMultilevel"/>
    <w:tmpl w:val="CEA2D25C"/>
    <w:lvl w:ilvl="0" w:tplc="1C403630">
      <w:start w:val="1"/>
      <w:numFmt w:val="bullet"/>
      <w:lvlText w:val=""/>
      <w:lvlJc w:val="left"/>
      <w:pPr>
        <w:ind w:left="360" w:hanging="360"/>
      </w:pPr>
      <w:rPr>
        <w:rFonts w:ascii="Symbol" w:hAnsi="Symbol" w:hint="default"/>
      </w:rPr>
    </w:lvl>
    <w:lvl w:ilvl="1" w:tplc="39001B68">
      <w:start w:val="1"/>
      <w:numFmt w:val="bullet"/>
      <w:lvlText w:val="o"/>
      <w:lvlJc w:val="left"/>
      <w:pPr>
        <w:ind w:left="1080" w:hanging="360"/>
      </w:pPr>
      <w:rPr>
        <w:rFonts w:ascii="Courier New" w:hAnsi="Courier New" w:cs="Courier New" w:hint="default"/>
      </w:rPr>
    </w:lvl>
    <w:lvl w:ilvl="2" w:tplc="C2C6B334" w:tentative="1">
      <w:start w:val="1"/>
      <w:numFmt w:val="bullet"/>
      <w:lvlText w:val=""/>
      <w:lvlJc w:val="left"/>
      <w:pPr>
        <w:ind w:left="1800" w:hanging="360"/>
      </w:pPr>
      <w:rPr>
        <w:rFonts w:ascii="Wingdings" w:hAnsi="Wingdings" w:hint="default"/>
      </w:rPr>
    </w:lvl>
    <w:lvl w:ilvl="3" w:tplc="82546310" w:tentative="1">
      <w:start w:val="1"/>
      <w:numFmt w:val="bullet"/>
      <w:lvlText w:val=""/>
      <w:lvlJc w:val="left"/>
      <w:pPr>
        <w:ind w:left="2520" w:hanging="360"/>
      </w:pPr>
      <w:rPr>
        <w:rFonts w:ascii="Symbol" w:hAnsi="Symbol" w:hint="default"/>
      </w:rPr>
    </w:lvl>
    <w:lvl w:ilvl="4" w:tplc="D018C150" w:tentative="1">
      <w:start w:val="1"/>
      <w:numFmt w:val="bullet"/>
      <w:lvlText w:val="o"/>
      <w:lvlJc w:val="left"/>
      <w:pPr>
        <w:ind w:left="3240" w:hanging="360"/>
      </w:pPr>
      <w:rPr>
        <w:rFonts w:ascii="Courier New" w:hAnsi="Courier New" w:cs="Courier New" w:hint="default"/>
      </w:rPr>
    </w:lvl>
    <w:lvl w:ilvl="5" w:tplc="C374B400" w:tentative="1">
      <w:start w:val="1"/>
      <w:numFmt w:val="bullet"/>
      <w:lvlText w:val=""/>
      <w:lvlJc w:val="left"/>
      <w:pPr>
        <w:ind w:left="3960" w:hanging="360"/>
      </w:pPr>
      <w:rPr>
        <w:rFonts w:ascii="Wingdings" w:hAnsi="Wingdings" w:hint="default"/>
      </w:rPr>
    </w:lvl>
    <w:lvl w:ilvl="6" w:tplc="1AD82B8A" w:tentative="1">
      <w:start w:val="1"/>
      <w:numFmt w:val="bullet"/>
      <w:lvlText w:val=""/>
      <w:lvlJc w:val="left"/>
      <w:pPr>
        <w:ind w:left="4680" w:hanging="360"/>
      </w:pPr>
      <w:rPr>
        <w:rFonts w:ascii="Symbol" w:hAnsi="Symbol" w:hint="default"/>
      </w:rPr>
    </w:lvl>
    <w:lvl w:ilvl="7" w:tplc="CE5C4998" w:tentative="1">
      <w:start w:val="1"/>
      <w:numFmt w:val="bullet"/>
      <w:lvlText w:val="o"/>
      <w:lvlJc w:val="left"/>
      <w:pPr>
        <w:ind w:left="5400" w:hanging="360"/>
      </w:pPr>
      <w:rPr>
        <w:rFonts w:ascii="Courier New" w:hAnsi="Courier New" w:cs="Courier New" w:hint="default"/>
      </w:rPr>
    </w:lvl>
    <w:lvl w:ilvl="8" w:tplc="A5486190"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F4"/>
    <w:rsid w:val="002F0941"/>
    <w:rsid w:val="00F70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C3B07-78F6-4C0A-AB93-FC1499A1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ED43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015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1AD"/>
    <w:pPr>
      <w:spacing w:after="0" w:line="240" w:lineRule="auto"/>
      <w:ind w:left="720"/>
      <w:contextualSpacing/>
    </w:pPr>
    <w:rPr>
      <w:rFonts w:ascii="Candara" w:eastAsia="Times New Roman" w:hAnsi="Candara" w:cs="Times New Roman"/>
      <w:sz w:val="24"/>
      <w:szCs w:val="24"/>
    </w:rPr>
  </w:style>
  <w:style w:type="character" w:customStyle="1" w:styleId="Heading1Char">
    <w:name w:val="Heading 1 Char"/>
    <w:basedOn w:val="DefaultParagraphFont"/>
    <w:link w:val="Heading1"/>
    <w:uiPriority w:val="9"/>
    <w:rsid w:val="00ED43C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0155E"/>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qFormat/>
    <w:rsid w:val="00A05D24"/>
    <w:pPr>
      <w:spacing w:after="120" w:line="240" w:lineRule="auto"/>
      <w:ind w:left="216" w:hanging="216"/>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A05D24"/>
    <w:rPr>
      <w:rFonts w:ascii="Times New Roman" w:eastAsia="Times New Roman" w:hAnsi="Times New Roman" w:cs="Times New Roman"/>
      <w:sz w:val="20"/>
      <w:szCs w:val="20"/>
    </w:rPr>
  </w:style>
  <w:style w:type="character" w:styleId="FootnoteReference">
    <w:name w:val="footnote reference"/>
    <w:basedOn w:val="FootnoteTextChar"/>
    <w:uiPriority w:val="99"/>
    <w:unhideWhenUsed/>
    <w:rsid w:val="00A05D24"/>
    <w:rPr>
      <w:rFonts w:ascii="Times New Roman" w:eastAsia="Times New Roman" w:hAnsi="Times New Roman" w:cs="Times New Roman" w:hint="default"/>
      <w:sz w:val="20"/>
      <w:szCs w:val="20"/>
      <w:vertAlign w:val="superscript"/>
    </w:rPr>
  </w:style>
  <w:style w:type="paragraph" w:styleId="Header">
    <w:name w:val="header"/>
    <w:basedOn w:val="Normal"/>
    <w:link w:val="HeaderChar"/>
    <w:uiPriority w:val="99"/>
    <w:unhideWhenUsed/>
    <w:rsid w:val="00D80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E1C"/>
  </w:style>
  <w:style w:type="paragraph" w:styleId="Footer">
    <w:name w:val="footer"/>
    <w:basedOn w:val="Normal"/>
    <w:link w:val="FooterChar"/>
    <w:uiPriority w:val="99"/>
    <w:unhideWhenUsed/>
    <w:rsid w:val="00D80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E1C"/>
  </w:style>
  <w:style w:type="character" w:customStyle="1" w:styleId="zzmpTrailerItem">
    <w:name w:val="zzmpTrailerItem"/>
    <w:basedOn w:val="DefaultParagraphFont"/>
    <w:rsid w:val="00D80E1C"/>
    <w:rPr>
      <w:rFonts w:ascii="Calibri" w:hAnsi="Calibri" w:cs="Calibri"/>
      <w:dstrike w:val="0"/>
      <w:noProof/>
      <w:color w:val="auto"/>
      <w:spacing w:val="0"/>
      <w:position w:val="0"/>
      <w:sz w:val="16"/>
      <w:szCs w:val="16"/>
      <w:u w:val="none"/>
      <w:effect w:val="none"/>
      <w:vertAlign w:val="baseline"/>
    </w:rPr>
  </w:style>
  <w:style w:type="table" w:styleId="TableGrid">
    <w:name w:val="Table Grid"/>
    <w:basedOn w:val="TableNormal"/>
    <w:uiPriority w:val="39"/>
    <w:rsid w:val="00DC1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5226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Freedman, Marc</dc:creator>
  <cp:lastModifiedBy>Freedman, Marc</cp:lastModifiedBy>
  <cp:revision>2</cp:revision>
  <dcterms:created xsi:type="dcterms:W3CDTF">2019-05-21T14:01:00Z</dcterms:created>
  <dcterms:modified xsi:type="dcterms:W3CDTF">2019-05-21T14:01:00Z</dcterms:modified>
</cp:coreProperties>
</file>